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rsidR="004549E2" w:rsidRDefault="004549E2">
      <w:pPr>
        <w:widowControl w:val="0"/>
      </w:pPr>
    </w:p>
    <w:tbl>
      <w:tblPr>
        <w:tblStyle w:val="a"/>
        <w:tblW w:w="9335" w:type="dxa"/>
        <w:tblLayout w:type="fixed"/>
        <w:tblLook w:val="0600" w:firstRow="0" w:lastRow="0" w:firstColumn="0" w:lastColumn="0" w:noHBand="1" w:noVBand="1"/>
      </w:tblPr>
      <w:tblGrid>
        <w:gridCol w:w="9335"/>
      </w:tblGrid>
      <w:tr w:rsidR="004549E2">
        <w:trPr>
          <w:trHeight w:val="860"/>
        </w:trPr>
        <w:tc>
          <w:tcPr>
            <w:tcW w:w="9335" w:type="dxa"/>
            <w:tcMar>
              <w:top w:w="100" w:type="dxa"/>
              <w:left w:w="100" w:type="dxa"/>
              <w:bottom w:w="100" w:type="dxa"/>
              <w:right w:w="100" w:type="dxa"/>
            </w:tcMar>
          </w:tcPr>
          <w:p w:rsidR="004549E2" w:rsidRDefault="008F3F87">
            <w:pPr>
              <w:pStyle w:val="Title"/>
              <w:keepNext w:val="0"/>
              <w:keepLines w:val="0"/>
              <w:widowControl w:val="0"/>
              <w:contextualSpacing w:val="0"/>
            </w:pPr>
            <w:bookmarkStart w:id="0" w:name="h.5i0fvf9e8bi6" w:colFirst="0" w:colLast="0"/>
            <w:bookmarkEnd w:id="0"/>
            <w:r>
              <w:t>Viz One premieres the latest Workflow Engine for Media Asset Management at NAB</w:t>
            </w:r>
          </w:p>
          <w:p w:rsidR="004549E2" w:rsidRDefault="004549E2">
            <w:pPr>
              <w:spacing w:line="240" w:lineRule="auto"/>
            </w:pPr>
            <w:bookmarkStart w:id="1" w:name="h.4miye4btx5x3" w:colFirst="0" w:colLast="0"/>
            <w:bookmarkEnd w:id="1"/>
          </w:p>
          <w:p w:rsidR="004549E2" w:rsidRDefault="008F3F87">
            <w:pPr>
              <w:spacing w:line="240" w:lineRule="auto"/>
            </w:pPr>
            <w:r>
              <w:rPr>
                <w:b/>
              </w:rPr>
              <w:t xml:space="preserve">National Association of Broadcasters (NAB) Show, 13-16 </w:t>
            </w:r>
            <w:r>
              <w:rPr>
                <w:b/>
              </w:rPr>
              <w:t>April</w:t>
            </w:r>
            <w:r>
              <w:rPr>
                <w:b/>
              </w:rPr>
              <w:t xml:space="preserve"> 2015, booth SL2417 - </w:t>
            </w:r>
            <w:r>
              <w:t>Vizrt</w:t>
            </w:r>
            <w:r>
              <w:t>, a leading provider of production tools for the digital media industry, has announced today that it will demonstrate the latest version of the Viz One Workflow Engine on its booth at NAB. Viz One is Vizrt’s media asset management (MAM) system that combine</w:t>
            </w:r>
            <w:r>
              <w:t>s broadcast tools across the enterprise to easily find, upload, preview, cut, send, and manage media content. The latest version of the Workflow Engine includes a new graphical workflow designer tool based on BPMN 2.0, simplified reporting tools, and panel</w:t>
            </w:r>
            <w:r>
              <w:t xml:space="preserve"> integration in Adobe Premiere Pro.</w:t>
            </w:r>
          </w:p>
          <w:p w:rsidR="004549E2" w:rsidRDefault="004549E2">
            <w:pPr>
              <w:spacing w:line="240" w:lineRule="auto"/>
            </w:pPr>
          </w:p>
          <w:p w:rsidR="004549E2" w:rsidRDefault="008F3F87">
            <w:pPr>
              <w:spacing w:line="240" w:lineRule="auto"/>
            </w:pPr>
            <w:r>
              <w:t>The Viz One Workflow Engine increases efficiency in file-based workflows and helps visualis</w:t>
            </w:r>
            <w:r>
              <w:t>e content data and processes to identify gaps and bottlenecks. The Workflow Engine consists of three components - a web-based ta</w:t>
            </w:r>
            <w:r>
              <w:t>sk list client, an administration console and a suite of business process modelling tools.</w:t>
            </w:r>
          </w:p>
          <w:p w:rsidR="004549E2" w:rsidRDefault="004549E2">
            <w:pPr>
              <w:spacing w:line="240" w:lineRule="auto"/>
            </w:pPr>
          </w:p>
          <w:p w:rsidR="004549E2" w:rsidRDefault="008F3F87">
            <w:pPr>
              <w:pStyle w:val="Heading1"/>
              <w:contextualSpacing w:val="0"/>
            </w:pPr>
            <w:bookmarkStart w:id="2" w:name="h.dqlrky5d09sf" w:colFirst="0" w:colLast="0"/>
            <w:bookmarkEnd w:id="2"/>
            <w:r>
              <w:t>Task List Client</w:t>
            </w:r>
          </w:p>
          <w:p w:rsidR="004549E2" w:rsidRDefault="008F3F87">
            <w:pPr>
              <w:spacing w:line="240" w:lineRule="auto"/>
            </w:pPr>
            <w:r>
              <w:t xml:space="preserve">The Task List Client is a lightweight web-based tool that can easily handle several thousand active tasks simultaneously and is available directly </w:t>
            </w:r>
            <w:r>
              <w:t>inside the Viz One web interface. This makes it easy to manage and monitor tasks from a list while they remain connected to a particular asset.</w:t>
            </w:r>
          </w:p>
          <w:p w:rsidR="004549E2" w:rsidRDefault="004549E2">
            <w:pPr>
              <w:spacing w:line="240" w:lineRule="auto"/>
            </w:pPr>
          </w:p>
          <w:p w:rsidR="004549E2" w:rsidRDefault="008F3F87">
            <w:pPr>
              <w:spacing w:line="240" w:lineRule="auto"/>
            </w:pPr>
            <w:r>
              <w:t>Tasks can also be managed by external applications via the API. This enables use of the task list interface eve</w:t>
            </w:r>
            <w:r>
              <w:t xml:space="preserve">n if an external order management system is in place. </w:t>
            </w:r>
          </w:p>
          <w:p w:rsidR="004549E2" w:rsidRDefault="004549E2">
            <w:pPr>
              <w:spacing w:line="240" w:lineRule="auto"/>
            </w:pPr>
          </w:p>
          <w:p w:rsidR="004549E2" w:rsidRDefault="008F3F87">
            <w:pPr>
              <w:pStyle w:val="Heading1"/>
              <w:contextualSpacing w:val="0"/>
            </w:pPr>
            <w:bookmarkStart w:id="3" w:name="h.wc5fbojib3wd" w:colFirst="0" w:colLast="0"/>
            <w:bookmarkEnd w:id="3"/>
            <w:r>
              <w:t>Administration Console</w:t>
            </w:r>
          </w:p>
          <w:p w:rsidR="004549E2" w:rsidRDefault="008F3F87">
            <w:pPr>
              <w:spacing w:line="240" w:lineRule="auto"/>
            </w:pPr>
            <w:r>
              <w:t>The Administration Console provides tools to maintain custom configurations in the MAM system. These configurations can include items such as metadata mapping information betwee</w:t>
            </w:r>
            <w:r>
              <w:t>n the workflow engine and the Viz One asset metadata. The console uses templates that allow the administrator to make changes and test new configurations before deploying changes into a live system.</w:t>
            </w:r>
          </w:p>
          <w:p w:rsidR="004549E2" w:rsidRDefault="004549E2">
            <w:pPr>
              <w:spacing w:line="240" w:lineRule="auto"/>
            </w:pPr>
          </w:p>
          <w:p w:rsidR="004549E2" w:rsidRDefault="008F3F87">
            <w:pPr>
              <w:pStyle w:val="Heading1"/>
              <w:contextualSpacing w:val="0"/>
            </w:pPr>
            <w:bookmarkStart w:id="4" w:name="h.e0o3a6rg13rm" w:colFirst="0" w:colLast="0"/>
            <w:bookmarkEnd w:id="4"/>
            <w:r>
              <w:t>Business Process Modelling</w:t>
            </w:r>
          </w:p>
          <w:p w:rsidR="004549E2" w:rsidRDefault="008F3F87">
            <w:pPr>
              <w:spacing w:line="240" w:lineRule="auto"/>
            </w:pPr>
            <w:r>
              <w:t>Workflow process management f</w:t>
            </w:r>
            <w:r>
              <w:t xml:space="preserve">unctionality is provided through a Graphical Designer tool </w:t>
            </w:r>
            <w:r>
              <w:lastRenderedPageBreak/>
              <w:t>based on BPMN 2.0. This includes pre-made modules that help users build custom configurations using an easy to use drag-and-drop workflow.</w:t>
            </w:r>
          </w:p>
          <w:p w:rsidR="004549E2" w:rsidRDefault="004549E2">
            <w:pPr>
              <w:spacing w:line="240" w:lineRule="auto"/>
            </w:pPr>
          </w:p>
          <w:p w:rsidR="004549E2" w:rsidRDefault="008F3F87">
            <w:pPr>
              <w:spacing w:line="240" w:lineRule="auto"/>
            </w:pPr>
            <w:r>
              <w:t>“The goal of our latest workflow engine is to make all th</w:t>
            </w:r>
            <w:r>
              <w:t>e daily tasks of media management from ingest to editing and playout not only easier - but more efficient. With it, we’re able to offer our users increased productivity,” said Petter Ole Jakobsen, Vizrt cto. “Being able to do more with the same, or even fe</w:t>
            </w:r>
            <w:r>
              <w:t>wer resources is the new mantra of virtually every media organis</w:t>
            </w:r>
            <w:bookmarkStart w:id="5" w:name="_GoBack"/>
            <w:bookmarkEnd w:id="5"/>
            <w:r>
              <w:t>ation today. The Viz One Workflow Engine allows broadcasters to reach this goal.”</w:t>
            </w:r>
          </w:p>
          <w:p w:rsidR="004549E2" w:rsidRDefault="004549E2">
            <w:pPr>
              <w:spacing w:line="240" w:lineRule="auto"/>
            </w:pPr>
          </w:p>
          <w:p w:rsidR="004549E2" w:rsidRDefault="008F3F87">
            <w:pPr>
              <w:spacing w:line="240" w:lineRule="auto"/>
            </w:pPr>
            <w:r>
              <w:t xml:space="preserve">The Viz One Workflow Engine is used by many broadcasters worldwide including ORF, RSI, Globosat, GMA as well </w:t>
            </w:r>
            <w:r>
              <w:t>as many others. It will be showcased on the Vizrt booth (SL2417) at the NAB show between 13 - 16 April.</w:t>
            </w:r>
          </w:p>
          <w:p w:rsidR="004549E2" w:rsidRDefault="004549E2">
            <w:pPr>
              <w:spacing w:line="240" w:lineRule="auto"/>
            </w:pPr>
          </w:p>
          <w:p w:rsidR="004549E2" w:rsidRDefault="008F3F87">
            <w:pPr>
              <w:spacing w:line="240" w:lineRule="auto"/>
            </w:pPr>
            <w:r>
              <w:t xml:space="preserve">Vizrt will be hosting a press event on its stand at NAB on Monday 13 April at 12.30pm. To RSVP email </w:t>
            </w:r>
            <w:r>
              <w:rPr>
                <w:color w:val="1155CC"/>
              </w:rPr>
              <w:t>Vizrt@rlyl.com</w:t>
            </w:r>
            <w:r>
              <w:t xml:space="preserve">. </w:t>
            </w:r>
          </w:p>
        </w:tc>
      </w:tr>
    </w:tbl>
    <w:p w:rsidR="004549E2" w:rsidRDefault="004549E2">
      <w:pPr>
        <w:widowControl w:val="0"/>
      </w:pPr>
    </w:p>
    <w:tbl>
      <w:tblPr>
        <w:tblStyle w:val="a0"/>
        <w:tblW w:w="9025" w:type="dxa"/>
        <w:tblLayout w:type="fixed"/>
        <w:tblLook w:val="0600" w:firstRow="0" w:lastRow="0" w:firstColumn="0" w:lastColumn="0" w:noHBand="1" w:noVBand="1"/>
      </w:tblPr>
      <w:tblGrid>
        <w:gridCol w:w="9025"/>
      </w:tblGrid>
      <w:tr w:rsidR="004549E2">
        <w:tc>
          <w:tcPr>
            <w:tcW w:w="9025" w:type="dxa"/>
            <w:tcMar>
              <w:top w:w="100" w:type="dxa"/>
              <w:left w:w="100" w:type="dxa"/>
              <w:bottom w:w="100" w:type="dxa"/>
              <w:right w:w="100" w:type="dxa"/>
            </w:tcMar>
          </w:tcPr>
          <w:p w:rsidR="004549E2" w:rsidRDefault="008F3F87">
            <w:pPr>
              <w:pStyle w:val="Heading1"/>
              <w:keepNext w:val="0"/>
              <w:keepLines w:val="0"/>
              <w:widowControl w:val="0"/>
              <w:contextualSpacing w:val="0"/>
            </w:pPr>
            <w:bookmarkStart w:id="6" w:name="h.p8z9vqf4cyhx" w:colFirst="0" w:colLast="0"/>
            <w:bookmarkEnd w:id="6"/>
            <w:r>
              <w:t>About Vizrt:</w:t>
            </w:r>
          </w:p>
        </w:tc>
      </w:tr>
      <w:tr w:rsidR="004549E2">
        <w:tc>
          <w:tcPr>
            <w:tcW w:w="9025" w:type="dxa"/>
            <w:tcMar>
              <w:top w:w="100" w:type="dxa"/>
              <w:left w:w="100" w:type="dxa"/>
              <w:bottom w:w="100" w:type="dxa"/>
              <w:right w:w="100" w:type="dxa"/>
            </w:tcMar>
          </w:tcPr>
          <w:p w:rsidR="004549E2" w:rsidRDefault="008F3F87">
            <w:pPr>
              <w:widowControl w:val="0"/>
              <w:spacing w:after="200"/>
            </w:pPr>
            <w:r>
              <w:t>Vizrt provides real-time 3D graphics, studio automation, sports analysis and asset management tools for the media and entertainment industry. This includes interactive and virtual solutions, animations, maps, weather, video editing, compositing, and playou</w:t>
            </w:r>
            <w:r>
              <w:t>t tools. Vizrt has customers in more than 100 countries worldwide including CNN, CBS, Fox, BBC, BSkyB, Al Jazeera, NDR, ITN, ZDF, Star TV, Network 18, TV Today, CCTV, NHK and the list keeps growing. Vizrt has nearly 600 employees and operates in 40 offices</w:t>
            </w:r>
            <w:r>
              <w:t xml:space="preserve"> worldwide.</w:t>
            </w:r>
          </w:p>
          <w:p w:rsidR="004549E2" w:rsidRDefault="008F3F87">
            <w:pPr>
              <w:widowControl w:val="0"/>
              <w:spacing w:after="200"/>
            </w:pPr>
            <w:r>
              <w:t>Vizrt is a privately owned company by Nordic Capital Fund VIII. For further information please refer to</w:t>
            </w:r>
            <w:hyperlink r:id="rId6">
              <w:r>
                <w:t xml:space="preserve"> </w:t>
              </w:r>
            </w:hyperlink>
            <w:hyperlink r:id="rId7">
              <w:r>
                <w:rPr>
                  <w:color w:val="F6861F"/>
                  <w:u w:val="single"/>
                </w:rPr>
                <w:t>www.vizrt.com</w:t>
              </w:r>
            </w:hyperlink>
            <w:hyperlink r:id="rId8"/>
          </w:p>
          <w:p w:rsidR="004549E2" w:rsidRDefault="004549E2">
            <w:pPr>
              <w:pBdr>
                <w:top w:val="single" w:sz="4" w:space="1" w:color="auto"/>
              </w:pBdr>
            </w:pPr>
          </w:p>
          <w:p w:rsidR="004549E2" w:rsidRDefault="004549E2">
            <w:pPr>
              <w:widowControl w:val="0"/>
              <w:spacing w:line="240" w:lineRule="auto"/>
            </w:pPr>
          </w:p>
        </w:tc>
      </w:tr>
    </w:tbl>
    <w:p w:rsidR="004549E2" w:rsidRDefault="004549E2">
      <w:pPr>
        <w:widowControl w:val="0"/>
      </w:pPr>
    </w:p>
    <w:tbl>
      <w:tblPr>
        <w:tblStyle w:val="a1"/>
        <w:tblW w:w="9025" w:type="dxa"/>
        <w:tblLayout w:type="fixed"/>
        <w:tblLook w:val="0600" w:firstRow="0" w:lastRow="0" w:firstColumn="0" w:lastColumn="0" w:noHBand="1" w:noVBand="1"/>
      </w:tblPr>
      <w:tblGrid>
        <w:gridCol w:w="9025"/>
      </w:tblGrid>
      <w:tr w:rsidR="004549E2">
        <w:trPr>
          <w:trHeight w:val="3360"/>
        </w:trPr>
        <w:tc>
          <w:tcPr>
            <w:tcW w:w="9025" w:type="dxa"/>
            <w:tcMar>
              <w:top w:w="100" w:type="dxa"/>
              <w:left w:w="100" w:type="dxa"/>
              <w:bottom w:w="100" w:type="dxa"/>
              <w:right w:w="100" w:type="dxa"/>
            </w:tcMar>
          </w:tcPr>
          <w:p w:rsidR="004549E2" w:rsidRDefault="008F3F87">
            <w:pPr>
              <w:widowControl w:val="0"/>
            </w:pPr>
            <w:r>
              <w:lastRenderedPageBreak/>
              <w:t>Martin Burkhalter</w:t>
            </w:r>
          </w:p>
          <w:p w:rsidR="004549E2" w:rsidRDefault="008F3F87">
            <w:pPr>
              <w:widowControl w:val="0"/>
            </w:pPr>
            <w:r>
              <w:t>CEO</w:t>
            </w:r>
          </w:p>
          <w:p w:rsidR="004549E2" w:rsidRDefault="008F3F87">
            <w:pPr>
              <w:widowControl w:val="0"/>
            </w:pPr>
            <w:r>
              <w:t>+41 22 365 75 01</w:t>
            </w:r>
          </w:p>
          <w:p w:rsidR="004549E2" w:rsidRDefault="008F3F87">
            <w:pPr>
              <w:widowControl w:val="0"/>
            </w:pPr>
            <w:hyperlink r:id="rId9">
              <w:r>
                <w:rPr>
                  <w:color w:val="F6861F"/>
                  <w:u w:val="single"/>
                </w:rPr>
                <w:t>MBurkhalter@vizrt.com</w:t>
              </w:r>
            </w:hyperlink>
          </w:p>
          <w:p w:rsidR="004549E2" w:rsidRDefault="004549E2">
            <w:pPr>
              <w:widowControl w:val="0"/>
            </w:pPr>
          </w:p>
          <w:p w:rsidR="004549E2" w:rsidRDefault="008F3F87">
            <w:pPr>
              <w:spacing w:line="240" w:lineRule="auto"/>
            </w:pPr>
            <w:r>
              <w:t xml:space="preserve">Ingrid Agasøster  </w:t>
            </w:r>
          </w:p>
          <w:p w:rsidR="004549E2" w:rsidRDefault="008F3F87">
            <w:pPr>
              <w:spacing w:line="240" w:lineRule="auto"/>
            </w:pPr>
            <w:r>
              <w:t>EVP Products and Marketing</w:t>
            </w:r>
          </w:p>
          <w:p w:rsidR="004549E2" w:rsidRDefault="008F3F87">
            <w:pPr>
              <w:spacing w:line="240" w:lineRule="auto"/>
            </w:pPr>
            <w:r>
              <w:t>+47 995 33 791</w:t>
            </w:r>
          </w:p>
          <w:p w:rsidR="004549E2" w:rsidRDefault="008F3F87">
            <w:pPr>
              <w:spacing w:line="240" w:lineRule="auto"/>
            </w:pPr>
            <w:hyperlink r:id="rId10">
              <w:r>
                <w:rPr>
                  <w:color w:val="FF9900"/>
                  <w:u w:val="single"/>
                </w:rPr>
                <w:t>iagasoster@vizrt.com</w:t>
              </w:r>
            </w:hyperlink>
          </w:p>
          <w:p w:rsidR="004549E2" w:rsidRDefault="004549E2">
            <w:pPr>
              <w:widowControl w:val="0"/>
            </w:pPr>
          </w:p>
          <w:p w:rsidR="004549E2" w:rsidRDefault="004549E2">
            <w:pPr>
              <w:widowControl w:val="0"/>
            </w:pPr>
          </w:p>
        </w:tc>
      </w:tr>
      <w:tr w:rsidR="004549E2">
        <w:tc>
          <w:tcPr>
            <w:tcW w:w="9025" w:type="dxa"/>
            <w:tcMar>
              <w:top w:w="100" w:type="dxa"/>
              <w:left w:w="100" w:type="dxa"/>
              <w:bottom w:w="100" w:type="dxa"/>
              <w:right w:w="100" w:type="dxa"/>
            </w:tcMar>
          </w:tcPr>
          <w:p w:rsidR="004549E2" w:rsidRDefault="004549E2">
            <w:pPr>
              <w:widowControl w:val="0"/>
            </w:pPr>
          </w:p>
        </w:tc>
      </w:tr>
      <w:tr w:rsidR="004549E2">
        <w:tc>
          <w:tcPr>
            <w:tcW w:w="9025" w:type="dxa"/>
            <w:tcMar>
              <w:top w:w="100" w:type="dxa"/>
              <w:left w:w="100" w:type="dxa"/>
              <w:bottom w:w="100" w:type="dxa"/>
              <w:right w:w="100" w:type="dxa"/>
            </w:tcMar>
          </w:tcPr>
          <w:p w:rsidR="004549E2" w:rsidRDefault="004549E2">
            <w:pPr>
              <w:widowControl w:val="0"/>
            </w:pPr>
          </w:p>
        </w:tc>
      </w:tr>
    </w:tbl>
    <w:p w:rsidR="004549E2" w:rsidRDefault="004549E2">
      <w:pPr>
        <w:widowControl w:val="0"/>
      </w:pPr>
    </w:p>
    <w:p w:rsidR="004549E2" w:rsidRDefault="004549E2">
      <w:pPr>
        <w:widowControl w:val="0"/>
      </w:pPr>
    </w:p>
    <w:p w:rsidR="004549E2" w:rsidRDefault="004549E2">
      <w:pPr>
        <w:widowControl w:val="0"/>
      </w:pPr>
    </w:p>
    <w:sectPr w:rsidR="004549E2">
      <w:headerReference w:type="default" r:id="rId11"/>
      <w:footerReference w:type="default" r:id="rId12"/>
      <w:pgSz w:w="11905" w:h="16837"/>
      <w:pgMar w:top="1440" w:right="1440" w:bottom="1440" w:left="1440" w:header="720" w:footer="720"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00000" w:rsidRDefault="008F3F87">
      <w:pPr>
        <w:spacing w:line="240" w:lineRule="auto"/>
      </w:pPr>
      <w:r>
        <w:separator/>
      </w:r>
    </w:p>
  </w:endnote>
  <w:endnote w:type="continuationSeparator" w:id="0">
    <w:p w:rsidR="00000000" w:rsidRDefault="008F3F8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AFF" w:usb1="C0007843" w:usb2="00000009" w:usb3="00000000" w:csb0="000001FF" w:csb1="00000000"/>
  </w:font>
  <w:font w:name="Trebuchet MS">
    <w:panose1 w:val="020B0603020202020204"/>
    <w:charset w:val="00"/>
    <w:family w:val="swiss"/>
    <w:pitch w:val="variable"/>
    <w:sig w:usb0="00000287" w:usb1="00000000" w:usb2="00000000" w:usb3="00000000" w:csb0="000000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549E2" w:rsidRDefault="004549E2">
    <w:pPr>
      <w:pBdr>
        <w:top w:val="single" w:sz="4" w:space="1" w:color="auto"/>
      </w:pBdr>
    </w:pPr>
  </w:p>
  <w:p w:rsidR="004549E2" w:rsidRDefault="004549E2">
    <w:pPr>
      <w:widowControl w:val="0"/>
    </w:pPr>
  </w:p>
  <w:p w:rsidR="004549E2" w:rsidRDefault="004549E2">
    <w:pPr>
      <w:widowControl w:val="0"/>
    </w:pPr>
  </w:p>
  <w:p w:rsidR="004549E2" w:rsidRDefault="008F3F87">
    <w:pPr>
      <w:widowControl w:val="0"/>
    </w:pPr>
    <w:r>
      <w:rPr>
        <w:sz w:val="14"/>
      </w:rPr>
      <w:t>Copyright © Vizrt. All rights reserved. This press release contains forward-looking statements with respect to the business, financial condition and results of operations of Vizrt and its affiliates. These statements are based on the current expectations o</w:t>
    </w:r>
    <w:r>
      <w:rPr>
        <w:sz w:val="14"/>
      </w:rPr>
      <w:t>r beliefs of Vizrt's management and are subject to a number of risks and uncertainties that could cause actual results or performance of the Company to differ materially from those contemplated in such forward-looking statements. These risks and uncertaint</w:t>
    </w:r>
    <w:r>
      <w:rPr>
        <w:sz w:val="14"/>
      </w:rPr>
      <w:t>ies relate to changes in technology and market requirements, the company’s concentration on one industry, decline in demand for the company’s products and those of its affiliates, inability to timely develop and introduce new technologies, products and app</w:t>
    </w:r>
    <w:r>
      <w:rPr>
        <w:sz w:val="14"/>
      </w:rPr>
      <w:t xml:space="preserve">lications, and loss of market share and pressure on pricing resulting from competition, which could cause the actual results or performance of the company to differ materially from those contemplated in such forward-looking statements. Vizrt undertakes no </w:t>
    </w:r>
    <w:r>
      <w:rPr>
        <w:sz w:val="14"/>
      </w:rPr>
      <w:t>obligation to publicly release any revisions to these forward-looking statements to reflect events or circumstances after the date hereof or to reflect the occurrence of unanticipated events</w:t>
    </w:r>
  </w:p>
  <w:p w:rsidR="004549E2" w:rsidRDefault="004549E2">
    <w:pPr>
      <w:widowControl w:val="0"/>
    </w:pPr>
  </w:p>
  <w:p w:rsidR="004549E2" w:rsidRDefault="004549E2">
    <w:pPr>
      <w:widowControl w:val="0"/>
    </w:pPr>
  </w:p>
  <w:p w:rsidR="004549E2" w:rsidRDefault="004549E2">
    <w:pPr>
      <w:widowControl w:val="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00000" w:rsidRDefault="008F3F87">
      <w:pPr>
        <w:spacing w:line="240" w:lineRule="auto"/>
      </w:pPr>
      <w:r>
        <w:separator/>
      </w:r>
    </w:p>
  </w:footnote>
  <w:footnote w:type="continuationSeparator" w:id="0">
    <w:p w:rsidR="00000000" w:rsidRDefault="008F3F87">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549E2" w:rsidRDefault="004549E2">
    <w:pPr>
      <w:widowControl w:val="0"/>
    </w:pPr>
  </w:p>
  <w:p w:rsidR="004549E2" w:rsidRDefault="004549E2">
    <w:pPr>
      <w:widowControl w:val="0"/>
    </w:pPr>
  </w:p>
  <w:tbl>
    <w:tblPr>
      <w:tblStyle w:val="a2"/>
      <w:tblW w:w="9720" w:type="dxa"/>
      <w:tblLayout w:type="fixed"/>
      <w:tblLook w:val="0600" w:firstRow="0" w:lastRow="0" w:firstColumn="0" w:lastColumn="0" w:noHBand="1" w:noVBand="1"/>
    </w:tblPr>
    <w:tblGrid>
      <w:gridCol w:w="3855"/>
      <w:gridCol w:w="1515"/>
      <w:gridCol w:w="4350"/>
    </w:tblGrid>
    <w:tr w:rsidR="004549E2">
      <w:tc>
        <w:tcPr>
          <w:tcW w:w="3855" w:type="dxa"/>
          <w:tcMar>
            <w:top w:w="100" w:type="dxa"/>
            <w:left w:w="100" w:type="dxa"/>
            <w:bottom w:w="100" w:type="dxa"/>
            <w:right w:w="100" w:type="dxa"/>
          </w:tcMar>
        </w:tcPr>
        <w:p w:rsidR="004549E2" w:rsidRDefault="004549E2">
          <w:pPr>
            <w:widowControl w:val="0"/>
          </w:pPr>
        </w:p>
        <w:p w:rsidR="004549E2" w:rsidRDefault="008F3F87">
          <w:pPr>
            <w:widowControl w:val="0"/>
          </w:pPr>
          <w:r>
            <w:rPr>
              <w:b/>
              <w:color w:val="F6861F"/>
              <w:sz w:val="24"/>
            </w:rPr>
            <w:t xml:space="preserve">Press Release </w:t>
          </w:r>
        </w:p>
        <w:p w:rsidR="004549E2" w:rsidRDefault="004549E2">
          <w:pPr>
            <w:widowControl w:val="0"/>
          </w:pPr>
        </w:p>
      </w:tc>
      <w:tc>
        <w:tcPr>
          <w:tcW w:w="1515" w:type="dxa"/>
          <w:tcMar>
            <w:top w:w="100" w:type="dxa"/>
            <w:left w:w="100" w:type="dxa"/>
            <w:bottom w:w="100" w:type="dxa"/>
            <w:right w:w="100" w:type="dxa"/>
          </w:tcMar>
        </w:tcPr>
        <w:p w:rsidR="004549E2" w:rsidRDefault="004549E2">
          <w:pPr>
            <w:widowControl w:val="0"/>
          </w:pPr>
        </w:p>
        <w:p w:rsidR="004549E2" w:rsidRDefault="008F3F87">
          <w:pPr>
            <w:widowControl w:val="0"/>
            <w:jc w:val="center"/>
          </w:pPr>
          <w:r>
            <w:fldChar w:fldCharType="begin"/>
          </w:r>
          <w:r>
            <w:instrText>PAGE</w:instrText>
          </w:r>
          <w:r>
            <w:fldChar w:fldCharType="separate"/>
          </w:r>
          <w:r>
            <w:rPr>
              <w:noProof/>
            </w:rPr>
            <w:t>1</w:t>
          </w:r>
          <w:r>
            <w:fldChar w:fldCharType="end"/>
          </w:r>
        </w:p>
      </w:tc>
      <w:tc>
        <w:tcPr>
          <w:tcW w:w="4350" w:type="dxa"/>
          <w:tcMar>
            <w:top w:w="100" w:type="dxa"/>
            <w:left w:w="100" w:type="dxa"/>
            <w:bottom w:w="100" w:type="dxa"/>
            <w:right w:w="100" w:type="dxa"/>
          </w:tcMar>
        </w:tcPr>
        <w:p w:rsidR="004549E2" w:rsidRDefault="008F3F87">
          <w:pPr>
            <w:widowControl w:val="0"/>
            <w:spacing w:line="240" w:lineRule="auto"/>
            <w:jc w:val="right"/>
          </w:pPr>
          <w:r>
            <w:rPr>
              <w:noProof/>
            </w:rPr>
            <w:drawing>
              <wp:inline distT="19050" distB="19050" distL="19050" distR="19050">
                <wp:extent cx="981075" cy="600075"/>
                <wp:effectExtent l="0" t="0" r="0" b="0"/>
                <wp:docPr id="1" name="image01.png"/>
                <wp:cNvGraphicFramePr/>
                <a:graphic xmlns:a="http://schemas.openxmlformats.org/drawingml/2006/main">
                  <a:graphicData uri="http://schemas.openxmlformats.org/drawingml/2006/picture">
                    <pic:pic xmlns:pic="http://schemas.openxmlformats.org/drawingml/2006/picture">
                      <pic:nvPicPr>
                        <pic:cNvPr id="0" name="image01.png"/>
                        <pic:cNvPicPr preferRelativeResize="0"/>
                      </pic:nvPicPr>
                      <pic:blipFill>
                        <a:blip r:embed="rId1"/>
                        <a:srcRect/>
                        <a:stretch>
                          <a:fillRect/>
                        </a:stretch>
                      </pic:blipFill>
                      <pic:spPr>
                        <a:xfrm>
                          <a:off x="0" y="0"/>
                          <a:ext cx="981075" cy="600075"/>
                        </a:xfrm>
                        <a:prstGeom prst="rect">
                          <a:avLst/>
                        </a:prstGeom>
                        <a:ln/>
                      </pic:spPr>
                    </pic:pic>
                  </a:graphicData>
                </a:graphic>
              </wp:inline>
            </w:drawing>
          </w:r>
        </w:p>
      </w:tc>
    </w:tr>
  </w:tbl>
  <w:p w:rsidR="004549E2" w:rsidRDefault="004549E2">
    <w:pPr>
      <w:widowControl w:val="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549E2"/>
    <w:rsid w:val="004549E2"/>
    <w:rsid w:val="008F3F8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A6BDFFED-0EFE-4F1F-9715-234F3007FF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Arial" w:hAnsi="Arial" w:cs="Arial"/>
        <w:color w:val="666666"/>
        <w:sz w:val="22"/>
        <w:lang w:val="en-GB" w:eastAsia="en-GB" w:bidi="ar-SA"/>
      </w:rPr>
    </w:rPrDefault>
    <w:pPrDefault>
      <w:pPr>
        <w:spacing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Heading1">
    <w:name w:val="heading 1"/>
    <w:basedOn w:val="Normal"/>
    <w:next w:val="Normal"/>
    <w:pPr>
      <w:keepNext/>
      <w:keepLines/>
      <w:spacing w:line="240" w:lineRule="auto"/>
      <w:contextualSpacing/>
      <w:outlineLvl w:val="0"/>
    </w:pPr>
    <w:rPr>
      <w:b/>
      <w:color w:val="F6861F"/>
      <w:sz w:val="24"/>
    </w:rPr>
  </w:style>
  <w:style w:type="paragraph" w:styleId="Heading2">
    <w:name w:val="heading 2"/>
    <w:basedOn w:val="Normal"/>
    <w:next w:val="Normal"/>
    <w:pPr>
      <w:keepNext/>
      <w:keepLines/>
      <w:spacing w:before="200"/>
      <w:contextualSpacing/>
      <w:outlineLvl w:val="1"/>
    </w:pPr>
    <w:rPr>
      <w:rFonts w:ascii="Trebuchet MS" w:eastAsia="Trebuchet MS" w:hAnsi="Trebuchet MS" w:cs="Trebuchet MS"/>
      <w:b/>
      <w:sz w:val="26"/>
    </w:rPr>
  </w:style>
  <w:style w:type="paragraph" w:styleId="Heading3">
    <w:name w:val="heading 3"/>
    <w:basedOn w:val="Normal"/>
    <w:next w:val="Normal"/>
    <w:pPr>
      <w:keepNext/>
      <w:keepLines/>
      <w:spacing w:before="160"/>
      <w:contextualSpacing/>
      <w:outlineLvl w:val="2"/>
    </w:pPr>
    <w:rPr>
      <w:rFonts w:ascii="Trebuchet MS" w:eastAsia="Trebuchet MS" w:hAnsi="Trebuchet MS" w:cs="Trebuchet MS"/>
      <w:b/>
      <w:sz w:val="24"/>
    </w:rPr>
  </w:style>
  <w:style w:type="paragraph" w:styleId="Heading4">
    <w:name w:val="heading 4"/>
    <w:basedOn w:val="Normal"/>
    <w:next w:val="Normal"/>
    <w:pPr>
      <w:keepNext/>
      <w:keepLines/>
      <w:spacing w:before="160"/>
      <w:contextualSpacing/>
      <w:outlineLvl w:val="3"/>
    </w:pPr>
    <w:rPr>
      <w:rFonts w:ascii="Trebuchet MS" w:eastAsia="Trebuchet MS" w:hAnsi="Trebuchet MS" w:cs="Trebuchet MS"/>
      <w:u w:val="single"/>
    </w:rPr>
  </w:style>
  <w:style w:type="paragraph" w:styleId="Heading5">
    <w:name w:val="heading 5"/>
    <w:basedOn w:val="Normal"/>
    <w:next w:val="Normal"/>
    <w:pPr>
      <w:keepNext/>
      <w:keepLines/>
      <w:spacing w:before="160"/>
      <w:contextualSpacing/>
      <w:outlineLvl w:val="4"/>
    </w:pPr>
    <w:rPr>
      <w:rFonts w:ascii="Trebuchet MS" w:eastAsia="Trebuchet MS" w:hAnsi="Trebuchet MS" w:cs="Trebuchet MS"/>
    </w:rPr>
  </w:style>
  <w:style w:type="paragraph" w:styleId="Heading6">
    <w:name w:val="heading 6"/>
    <w:basedOn w:val="Normal"/>
    <w:next w:val="Normal"/>
    <w:pPr>
      <w:keepNext/>
      <w:keepLines/>
      <w:spacing w:before="160"/>
      <w:contextualSpacing/>
      <w:outlineLvl w:val="5"/>
    </w:pPr>
    <w:rPr>
      <w:rFonts w:ascii="Trebuchet MS" w:eastAsia="Trebuchet MS" w:hAnsi="Trebuchet MS" w:cs="Trebuchet MS"/>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contextualSpacing/>
    </w:pPr>
    <w:rPr>
      <w:b/>
      <w:sz w:val="28"/>
    </w:rPr>
  </w:style>
  <w:style w:type="paragraph" w:styleId="Subtitle">
    <w:name w:val="Subtitle"/>
    <w:basedOn w:val="Normal"/>
    <w:next w:val="Normal"/>
    <w:pPr>
      <w:keepNext/>
      <w:keepLines/>
      <w:spacing w:line="240" w:lineRule="auto"/>
      <w:contextualSpacing/>
    </w:pPr>
    <w:rPr>
      <w:i/>
      <w:color w:val="999999"/>
    </w:rPr>
  </w:style>
  <w:style w:type="table" w:customStyle="1" w:styleId="a">
    <w:basedOn w:val="TableNormal"/>
    <w:tblPr>
      <w:tblStyleRowBandSize w:val="1"/>
      <w:tblStyleColBandSize w:val="1"/>
    </w:tblPr>
  </w:style>
  <w:style w:type="table" w:customStyle="1" w:styleId="a0">
    <w:basedOn w:val="TableNormal"/>
    <w:tblPr>
      <w:tblStyleRowBandSize w:val="1"/>
      <w:tblStyleColBandSize w:val="1"/>
    </w:tblPr>
  </w:style>
  <w:style w:type="table" w:customStyle="1" w:styleId="a1">
    <w:basedOn w:val="TableNormal"/>
    <w:tblPr>
      <w:tblStyleRowBandSize w:val="1"/>
      <w:tblStyleColBandSize w:val="1"/>
    </w:tblPr>
  </w:style>
  <w:style w:type="table" w:customStyle="1" w:styleId="a2">
    <w:basedOn w:val="TableNormal"/>
    <w:tblPr>
      <w:tblStyleRowBandSize w:val="1"/>
      <w:tblStyleColBandSize w:val="1"/>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hyperlink" Target="http://www.vizrt.com" TargetMode="Externa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www.vizrt.com" TargetMode="External"/><Relationship Id="rId12"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vizrt.com" TargetMode="External"/><Relationship Id="rId11"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hyperlink" Target="mailto:iagasoster@vizrt.com" TargetMode="External"/><Relationship Id="rId4" Type="http://schemas.openxmlformats.org/officeDocument/2006/relationships/footnotes" Target="footnotes.xml"/><Relationship Id="rId9" Type="http://schemas.openxmlformats.org/officeDocument/2006/relationships/hyperlink" Target="mailto:MBurkhalter@vizrt.com"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594</Words>
  <Characters>3388</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3975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Tristan Earl</dc:creator>
  <cp:lastModifiedBy>Tristan Earl</cp:lastModifiedBy>
  <cp:revision>2</cp:revision>
  <dcterms:created xsi:type="dcterms:W3CDTF">2015-03-30T09:08:00Z</dcterms:created>
  <dcterms:modified xsi:type="dcterms:W3CDTF">2015-03-30T09:08:00Z</dcterms:modified>
</cp:coreProperties>
</file>