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82378" w:rsidRPr="00B96EF1" w:rsidRDefault="00182378">
      <w:pPr>
        <w:jc w:val="center"/>
        <w:rPr>
          <w:szCs w:val="24"/>
          <w:lang w:val="sv-SE"/>
        </w:rPr>
      </w:pPr>
    </w:p>
    <w:p w:rsidR="00182378" w:rsidRPr="00B96EF1" w:rsidRDefault="00182378">
      <w:pPr>
        <w:pStyle w:val="Abbott-Subtitle"/>
        <w:rPr>
          <w:szCs w:val="24"/>
          <w:lang w:val="sv-SE"/>
        </w:rPr>
      </w:pPr>
    </w:p>
    <w:p w:rsidR="00182378" w:rsidRPr="00B96EF1" w:rsidRDefault="00182378">
      <w:pPr>
        <w:pStyle w:val="Abbott-Subtitle"/>
        <w:spacing w:line="240" w:lineRule="auto"/>
        <w:rPr>
          <w:szCs w:val="24"/>
          <w:lang w:val="sv-SE"/>
        </w:rPr>
      </w:pPr>
    </w:p>
    <w:p w:rsidR="00182378" w:rsidRPr="00B96EF1" w:rsidRDefault="00182378">
      <w:pPr>
        <w:pStyle w:val="Default"/>
        <w:ind w:right="675"/>
        <w:rPr>
          <w:rFonts w:cs="Times New Roman"/>
          <w:lang w:val="sv-SE"/>
        </w:rPr>
      </w:pPr>
      <w:r w:rsidRPr="00B96EF1">
        <w:rPr>
          <w:rFonts w:cs="Times New Roman"/>
          <w:sz w:val="32"/>
          <w:lang w:val="sv-SE"/>
        </w:rPr>
        <w:t xml:space="preserve">Abbott </w:t>
      </w:r>
      <w:r>
        <w:rPr>
          <w:rFonts w:cs="Times New Roman"/>
          <w:sz w:val="32"/>
          <w:lang w:val="sv-SE"/>
        </w:rPr>
        <w:t>visar på</w:t>
      </w:r>
      <w:r w:rsidRPr="00B96EF1">
        <w:rPr>
          <w:rFonts w:cs="Times New Roman"/>
          <w:sz w:val="32"/>
          <w:lang w:val="sv-SE"/>
        </w:rPr>
        <w:t xml:space="preserve"> positiva resultat från Co-Pilot</w:t>
      </w:r>
      <w:r>
        <w:rPr>
          <w:rFonts w:cs="Times New Roman"/>
          <w:sz w:val="32"/>
          <w:lang w:val="sv-SE"/>
        </w:rPr>
        <w:t xml:space="preserve"> studien</w:t>
      </w:r>
      <w:r w:rsidRPr="00B96EF1">
        <w:rPr>
          <w:rFonts w:cs="Times New Roman"/>
          <w:sz w:val="32"/>
          <w:lang w:val="sv-SE"/>
        </w:rPr>
        <w:t xml:space="preserve">, en interferonfri fas 2-studie </w:t>
      </w:r>
      <w:r>
        <w:rPr>
          <w:rFonts w:cs="Times New Roman"/>
          <w:sz w:val="32"/>
          <w:lang w:val="sv-SE"/>
        </w:rPr>
        <w:t>av</w:t>
      </w:r>
      <w:r w:rsidRPr="00B96EF1">
        <w:rPr>
          <w:rFonts w:cs="Times New Roman"/>
          <w:sz w:val="32"/>
          <w:lang w:val="sv-SE"/>
        </w:rPr>
        <w:t xml:space="preserve"> hepatit C-behandling </w:t>
      </w:r>
    </w:p>
    <w:p w:rsidR="00182378" w:rsidRPr="00B96EF1" w:rsidRDefault="00182378">
      <w:pPr>
        <w:pStyle w:val="Default"/>
        <w:ind w:right="675"/>
        <w:rPr>
          <w:rFonts w:ascii="Times New Roman" w:hAnsi="Times New Roman" w:cs="Times New Roman"/>
          <w:sz w:val="23"/>
          <w:lang w:val="sv-SE"/>
        </w:rPr>
      </w:pPr>
      <w:r w:rsidRPr="00B96EF1">
        <w:rPr>
          <w:rFonts w:ascii="Times New Roman" w:hAnsi="Times New Roman" w:cs="Times New Roman"/>
          <w:sz w:val="23"/>
          <w:lang w:val="sv-SE"/>
        </w:rPr>
        <w:t xml:space="preserve"> </w:t>
      </w:r>
    </w:p>
    <w:p w:rsidR="00182378" w:rsidRPr="00B96EF1" w:rsidRDefault="00182378">
      <w:pPr>
        <w:pStyle w:val="Default"/>
        <w:ind w:right="675"/>
        <w:rPr>
          <w:rFonts w:cs="Times New Roman"/>
          <w:sz w:val="32"/>
          <w:lang w:val="sv-SE"/>
        </w:rPr>
      </w:pPr>
      <w:r w:rsidRPr="00B96EF1">
        <w:rPr>
          <w:rFonts w:cs="Times New Roman"/>
          <w:sz w:val="32"/>
          <w:lang w:val="sv-SE"/>
        </w:rPr>
        <w:t xml:space="preserve"> </w:t>
      </w:r>
    </w:p>
    <w:p w:rsidR="00182378" w:rsidRPr="00B96EF1" w:rsidRDefault="00182378">
      <w:pPr>
        <w:pStyle w:val="Abbott-BodyCopy"/>
        <w:rPr>
          <w:szCs w:val="24"/>
          <w:lang w:val="sv-SE"/>
        </w:rPr>
      </w:pPr>
      <w:r w:rsidRPr="00B96EF1">
        <w:rPr>
          <w:i/>
          <w:szCs w:val="24"/>
          <w:lang w:val="sv-SE"/>
        </w:rPr>
        <w:t xml:space="preserve">Över 90 procent av tidigare obehandlade patienter </w:t>
      </w:r>
      <w:r>
        <w:rPr>
          <w:i/>
          <w:szCs w:val="24"/>
          <w:lang w:val="sv-SE"/>
        </w:rPr>
        <w:t>uppnådde</w:t>
      </w:r>
      <w:r w:rsidR="0085696E">
        <w:rPr>
          <w:i/>
          <w:szCs w:val="24"/>
          <w:lang w:val="sv-SE"/>
        </w:rPr>
        <w:t xml:space="preserve"> bibehållet viralt svar </w:t>
      </w:r>
      <w:r w:rsidRPr="00B96EF1">
        <w:rPr>
          <w:i/>
          <w:szCs w:val="24"/>
          <w:lang w:val="sv-SE"/>
        </w:rPr>
        <w:t>efter 12 veckor</w:t>
      </w:r>
      <w:r w:rsidR="0085696E">
        <w:rPr>
          <w:i/>
          <w:szCs w:val="24"/>
          <w:lang w:val="sv-SE"/>
        </w:rPr>
        <w:t>.</w:t>
      </w:r>
    </w:p>
    <w:p w:rsidR="00182378" w:rsidRPr="00B96EF1" w:rsidRDefault="00182378">
      <w:pPr>
        <w:pStyle w:val="Abbott-BodyCopy"/>
        <w:rPr>
          <w:szCs w:val="24"/>
          <w:lang w:val="sv-SE"/>
        </w:rPr>
      </w:pPr>
    </w:p>
    <w:p w:rsidR="00182378" w:rsidRPr="00B55111" w:rsidRDefault="00182378">
      <w:pPr>
        <w:pStyle w:val="Abbott-BodyCopy"/>
        <w:rPr>
          <w:szCs w:val="24"/>
          <w:lang w:val="sv-SE"/>
        </w:rPr>
      </w:pPr>
      <w:r w:rsidRPr="00B55111">
        <w:rPr>
          <w:szCs w:val="24"/>
          <w:lang w:val="sv-SE"/>
        </w:rPr>
        <w:t xml:space="preserve">ABBOTT PARK, Illinois, och Watertown, Massachusetts, 19 april 2012 – Abbott och Enanta Pharmaceuticals redovisar data från Co-Pilot, en </w:t>
      </w:r>
      <w:r w:rsidR="000B5C4B" w:rsidRPr="00B55111">
        <w:rPr>
          <w:szCs w:val="24"/>
          <w:lang w:val="sv-SE"/>
        </w:rPr>
        <w:t>12 veckors</w:t>
      </w:r>
      <w:r w:rsidRPr="00B55111">
        <w:rPr>
          <w:szCs w:val="24"/>
          <w:lang w:val="sv-SE"/>
        </w:rPr>
        <w:t xml:space="preserve"> interferonfri fas 2-studie med </w:t>
      </w:r>
      <w:r w:rsidR="000B5C4B" w:rsidRPr="00B55111">
        <w:rPr>
          <w:szCs w:val="24"/>
          <w:lang w:val="sv-SE"/>
        </w:rPr>
        <w:t>två av</w:t>
      </w:r>
      <w:r w:rsidRPr="00B55111">
        <w:rPr>
          <w:szCs w:val="24"/>
          <w:lang w:val="sv-SE"/>
        </w:rPr>
        <w:t xml:space="preserve"> Abbotts direktverkande antivirala läkemedel för behandling av hepatit C (HCV). Dessa data visar att över 90 procent av de patienter som inte hade fått HCV-behandling </w:t>
      </w:r>
      <w:r w:rsidR="000B5C4B" w:rsidRPr="00B55111">
        <w:rPr>
          <w:szCs w:val="24"/>
          <w:lang w:val="sv-SE"/>
        </w:rPr>
        <w:t>tidigare</w:t>
      </w:r>
      <w:r w:rsidRPr="00B55111">
        <w:rPr>
          <w:szCs w:val="24"/>
          <w:lang w:val="sv-SE"/>
        </w:rPr>
        <w:t xml:space="preserve"> uppnådde ett</w:t>
      </w:r>
      <w:r w:rsidR="0085696E" w:rsidRPr="00B55111">
        <w:rPr>
          <w:szCs w:val="24"/>
          <w:lang w:val="sv-SE"/>
        </w:rPr>
        <w:t xml:space="preserve"> bibehållet viralt svar </w:t>
      </w:r>
      <w:r w:rsidRPr="00B55111">
        <w:rPr>
          <w:szCs w:val="24"/>
          <w:lang w:val="sv-SE"/>
        </w:rPr>
        <w:t>(SVR</w:t>
      </w:r>
      <w:r w:rsidRPr="00B55111">
        <w:rPr>
          <w:szCs w:val="24"/>
          <w:vertAlign w:val="subscript"/>
          <w:lang w:val="sv-SE"/>
        </w:rPr>
        <w:t>12</w:t>
      </w:r>
      <w:r w:rsidRPr="00B55111">
        <w:rPr>
          <w:szCs w:val="24"/>
          <w:lang w:val="sv-SE"/>
        </w:rPr>
        <w:t xml:space="preserve">) </w:t>
      </w:r>
      <w:r w:rsidR="000B5C4B" w:rsidRPr="00B55111">
        <w:rPr>
          <w:szCs w:val="24"/>
          <w:lang w:val="sv-SE"/>
        </w:rPr>
        <w:t>12 veckor efter avslutad behandling</w:t>
      </w:r>
      <w:r w:rsidRPr="00B55111">
        <w:rPr>
          <w:szCs w:val="24"/>
          <w:lang w:val="sv-SE"/>
        </w:rPr>
        <w:t>. Resultaten offentliggjordes vid en presskonferens i samband med årsmötet för EASL (</w:t>
      </w:r>
      <w:r w:rsidRPr="00B55111">
        <w:rPr>
          <w:i/>
          <w:szCs w:val="24"/>
          <w:lang w:val="sv-SE"/>
        </w:rPr>
        <w:t>European Association for the Study of the Liver</w:t>
      </w:r>
      <w:r w:rsidRPr="00B55111">
        <w:rPr>
          <w:szCs w:val="24"/>
          <w:lang w:val="sv-SE"/>
        </w:rPr>
        <w:t xml:space="preserve">) i Barcelona i Spanien – ILC 2012 (International Liver Congress 2012). De presenterades även i samband med ett av mötets temasessioner för helt nya studiedata lördagen den 21 april. </w:t>
      </w:r>
    </w:p>
    <w:p w:rsidR="00182378" w:rsidRPr="00B55111" w:rsidRDefault="00182378">
      <w:pPr>
        <w:pStyle w:val="Abbott-BodyCopy"/>
        <w:rPr>
          <w:szCs w:val="24"/>
          <w:lang w:val="sv-SE"/>
        </w:rPr>
      </w:pPr>
    </w:p>
    <w:p w:rsidR="00182378" w:rsidRPr="0055617D" w:rsidRDefault="00182378">
      <w:pPr>
        <w:pStyle w:val="Abbott-BodyCopy"/>
        <w:rPr>
          <w:szCs w:val="24"/>
          <w:lang w:val="sv-SE"/>
        </w:rPr>
      </w:pPr>
      <w:r w:rsidRPr="00B55111">
        <w:rPr>
          <w:szCs w:val="24"/>
          <w:lang w:val="sv-SE"/>
        </w:rPr>
        <w:t xml:space="preserve">Co-Pilot-studien hade tre behandlingsarmar med olika doser av ABT-450/r plus ABT-333 och ribavirin som administrerades i 12 veckor </w:t>
      </w:r>
      <w:r w:rsidR="000B5C4B" w:rsidRPr="00B55111">
        <w:rPr>
          <w:szCs w:val="24"/>
          <w:lang w:val="sv-SE"/>
        </w:rPr>
        <w:t>dels till tidigare obehandlade patienter och dels till tidigare behandlade patienter som ej svarat på sedvanlig interferon-ribavirin behandling.</w:t>
      </w:r>
      <w:r w:rsidRPr="00B55111">
        <w:rPr>
          <w:szCs w:val="24"/>
          <w:lang w:val="sv-SE"/>
        </w:rPr>
        <w:t xml:space="preserve"> 12</w:t>
      </w:r>
      <w:r w:rsidRPr="00B96EF1">
        <w:rPr>
          <w:szCs w:val="24"/>
          <w:lang w:val="sv-SE"/>
        </w:rPr>
        <w:t xml:space="preserve"> veckor </w:t>
      </w:r>
      <w:r>
        <w:rPr>
          <w:szCs w:val="24"/>
          <w:lang w:val="sv-SE"/>
        </w:rPr>
        <w:t xml:space="preserve">efter </w:t>
      </w:r>
      <w:r w:rsidRPr="00B96EF1">
        <w:rPr>
          <w:szCs w:val="24"/>
          <w:lang w:val="sv-SE"/>
        </w:rPr>
        <w:t xml:space="preserve">behandlingen </w:t>
      </w:r>
      <w:r>
        <w:rPr>
          <w:szCs w:val="24"/>
          <w:lang w:val="sv-SE"/>
        </w:rPr>
        <w:t xml:space="preserve">avslutats </w:t>
      </w:r>
      <w:r w:rsidRPr="00B96EF1">
        <w:rPr>
          <w:szCs w:val="24"/>
          <w:lang w:val="sv-SE"/>
        </w:rPr>
        <w:t>visades ett kvarstående virologiskt svar (SVR</w:t>
      </w:r>
      <w:r w:rsidRPr="00B96EF1">
        <w:rPr>
          <w:sz w:val="14"/>
          <w:szCs w:val="24"/>
          <w:lang w:val="sv-SE"/>
        </w:rPr>
        <w:t>12</w:t>
      </w:r>
      <w:r w:rsidRPr="00B96EF1">
        <w:rPr>
          <w:szCs w:val="24"/>
          <w:lang w:val="sv-SE"/>
        </w:rPr>
        <w:t xml:space="preserve">) hos 95 procent respektive 93 procent av de tidigare obehandlade patienterna med genotyp 1 (GT1), utan återfall efter behandlingen. </w:t>
      </w:r>
      <w:r w:rsidRPr="0055617D">
        <w:rPr>
          <w:szCs w:val="24"/>
          <w:lang w:val="sv-SE"/>
        </w:rPr>
        <w:t xml:space="preserve">Svaret var oberoende av HCV-subtyp, värdens IL28B-genotyp och dosen ABT-450/r. </w:t>
      </w:r>
    </w:p>
    <w:p w:rsidR="00182378" w:rsidRPr="00B96EF1" w:rsidRDefault="00182378">
      <w:pPr>
        <w:pStyle w:val="Abbott-BodyCopy"/>
        <w:rPr>
          <w:szCs w:val="24"/>
          <w:lang w:val="sv-SE"/>
        </w:rPr>
      </w:pPr>
      <w:r w:rsidRPr="00B96EF1">
        <w:rPr>
          <w:szCs w:val="24"/>
          <w:lang w:val="sv-SE"/>
        </w:rPr>
        <w:t xml:space="preserve"> </w:t>
      </w:r>
    </w:p>
    <w:p w:rsidR="00182378" w:rsidRPr="00B96EF1" w:rsidRDefault="00182378">
      <w:pPr>
        <w:pStyle w:val="Abbott-BodyCopy"/>
        <w:rPr>
          <w:szCs w:val="24"/>
          <w:lang w:val="sv-SE"/>
        </w:rPr>
      </w:pPr>
      <w:r w:rsidRPr="00B96EF1">
        <w:rPr>
          <w:szCs w:val="24"/>
          <w:lang w:val="sv-SE"/>
        </w:rPr>
        <w:t>Dessutom uppnåddes SVR</w:t>
      </w:r>
      <w:r w:rsidRPr="00B96EF1">
        <w:rPr>
          <w:sz w:val="14"/>
          <w:szCs w:val="24"/>
          <w:lang w:val="sv-SE"/>
        </w:rPr>
        <w:t>12</w:t>
      </w:r>
      <w:r w:rsidRPr="00B96EF1">
        <w:rPr>
          <w:szCs w:val="24"/>
          <w:lang w:val="sv-SE"/>
        </w:rPr>
        <w:t xml:space="preserve"> hos 47 procent av de patienter som inte hade svarat på tidigare HCV-behandling. </w:t>
      </w:r>
    </w:p>
    <w:p w:rsidR="00182378" w:rsidRPr="00B96EF1" w:rsidRDefault="00182378">
      <w:pPr>
        <w:pStyle w:val="Abbott-BodyCopy"/>
        <w:rPr>
          <w:szCs w:val="24"/>
          <w:lang w:val="sv-SE"/>
        </w:rPr>
      </w:pPr>
    </w:p>
    <w:p w:rsidR="00182378" w:rsidRPr="00B96EF1" w:rsidRDefault="00182378">
      <w:pPr>
        <w:pStyle w:val="Abbott-BodyCopy"/>
        <w:rPr>
          <w:szCs w:val="24"/>
          <w:lang w:val="sv-SE"/>
        </w:rPr>
      </w:pPr>
      <w:r w:rsidRPr="00B55111">
        <w:rPr>
          <w:szCs w:val="24"/>
          <w:lang w:val="sv-SE"/>
        </w:rPr>
        <w:t xml:space="preserve">– Vi känner oss väldigt optimistiska när vi nu fått de första långsiktiga resultaten för interferonfria behandlingsregimer för heptatit C.  </w:t>
      </w:r>
      <w:r>
        <w:rPr>
          <w:szCs w:val="24"/>
          <w:lang w:val="sv-SE"/>
        </w:rPr>
        <w:t>Den</w:t>
      </w:r>
      <w:r w:rsidRPr="00B96EF1">
        <w:rPr>
          <w:szCs w:val="24"/>
          <w:lang w:val="sv-SE"/>
        </w:rPr>
        <w:t xml:space="preserve"> nivå av </w:t>
      </w:r>
      <w:r>
        <w:rPr>
          <w:szCs w:val="24"/>
          <w:lang w:val="sv-SE"/>
        </w:rPr>
        <w:t>bibehållet</w:t>
      </w:r>
      <w:r w:rsidRPr="00B96EF1">
        <w:rPr>
          <w:szCs w:val="24"/>
          <w:lang w:val="sv-SE"/>
        </w:rPr>
        <w:t xml:space="preserve"> svar vi </w:t>
      </w:r>
      <w:r>
        <w:rPr>
          <w:szCs w:val="24"/>
          <w:lang w:val="sv-SE"/>
        </w:rPr>
        <w:t>ser</w:t>
      </w:r>
      <w:r w:rsidRPr="00B96EF1">
        <w:rPr>
          <w:szCs w:val="24"/>
          <w:lang w:val="sv-SE"/>
        </w:rPr>
        <w:t xml:space="preserve">, både hos tidigare obehandlade patienter och hos patienter som inte har svarat på tidigare behandling, </w:t>
      </w:r>
      <w:r>
        <w:rPr>
          <w:szCs w:val="24"/>
          <w:lang w:val="sv-SE"/>
        </w:rPr>
        <w:t xml:space="preserve">är synnerligen uppmuntrande, </w:t>
      </w:r>
      <w:r w:rsidRPr="00B96EF1">
        <w:rPr>
          <w:szCs w:val="24"/>
          <w:lang w:val="sv-SE"/>
        </w:rPr>
        <w:t xml:space="preserve">säger Fred Poordad, M.D., chef för hepatologiska enheten vid Cedars-Sinai Medical Center i Los Angeles, som är huvudprövare för Co-Pilot. Den nivån får vi dessutom med </w:t>
      </w:r>
      <w:r w:rsidR="000B5C4B" w:rsidRPr="00B55111">
        <w:rPr>
          <w:szCs w:val="24"/>
          <w:lang w:val="sv-SE"/>
        </w:rPr>
        <w:t>endast</w:t>
      </w:r>
      <w:r w:rsidRPr="00B55111">
        <w:rPr>
          <w:szCs w:val="24"/>
          <w:lang w:val="sv-SE"/>
        </w:rPr>
        <w:t xml:space="preserve"> </w:t>
      </w:r>
      <w:r w:rsidRPr="00B96EF1">
        <w:rPr>
          <w:szCs w:val="24"/>
          <w:lang w:val="sv-SE"/>
        </w:rPr>
        <w:t xml:space="preserve">12 veckors behandling. Det ger stöd för vårt mål: att lansera en interferonfri, helt oral behandling med direktverkande antivirala läkemedel som ett viktigt nytt behandlingsalternativ för HCV. </w:t>
      </w:r>
    </w:p>
    <w:p w:rsidR="00182378" w:rsidRPr="00B96EF1" w:rsidRDefault="00182378">
      <w:pPr>
        <w:pStyle w:val="Abbott-BodyCopy"/>
        <w:rPr>
          <w:szCs w:val="24"/>
          <w:lang w:val="sv-SE"/>
        </w:rPr>
      </w:pPr>
    </w:p>
    <w:p w:rsidR="00182378" w:rsidRPr="00B55111" w:rsidRDefault="00182378">
      <w:pPr>
        <w:pStyle w:val="Abbott-BodyCopy"/>
        <w:rPr>
          <w:szCs w:val="24"/>
          <w:lang w:val="sv-SE"/>
        </w:rPr>
      </w:pPr>
      <w:r w:rsidRPr="00B96EF1">
        <w:rPr>
          <w:szCs w:val="24"/>
          <w:lang w:val="sv-SE"/>
        </w:rPr>
        <w:t>De nuvarande HCV-behandlingarna bygger fortfarande på interferon. Många HCV-</w:t>
      </w:r>
      <w:r w:rsidRPr="00B55111">
        <w:rPr>
          <w:szCs w:val="24"/>
          <w:lang w:val="sv-SE"/>
        </w:rPr>
        <w:t xml:space="preserve">patienter kan inte eller vill inte ta interferon på grund av kontraindikationer och/eller en del av de biverkningar som oftast rapporteras, bland annat influensaliknande symtom, depression och sömnbesvär. Specifikt målriktade behandlingar mot HCV, t.ex. proteashämmare </w:t>
      </w:r>
      <w:r w:rsidR="000B5C4B" w:rsidRPr="00B55111">
        <w:rPr>
          <w:szCs w:val="24"/>
          <w:lang w:val="sv-SE"/>
        </w:rPr>
        <w:t>(ABT-450/r)</w:t>
      </w:r>
      <w:r w:rsidRPr="00B55111">
        <w:rPr>
          <w:szCs w:val="24"/>
          <w:lang w:val="sv-SE"/>
        </w:rPr>
        <w:t xml:space="preserve"> och icke-nukleosid</w:t>
      </w:r>
      <w:r w:rsidR="000B5C4B" w:rsidRPr="00B55111">
        <w:rPr>
          <w:szCs w:val="24"/>
          <w:lang w:val="sv-SE"/>
        </w:rPr>
        <w:t>a</w:t>
      </w:r>
      <w:r w:rsidRPr="00B55111">
        <w:rPr>
          <w:szCs w:val="24"/>
          <w:lang w:val="sv-SE"/>
        </w:rPr>
        <w:t xml:space="preserve"> polymerashämmare </w:t>
      </w:r>
      <w:r w:rsidR="000B5C4B" w:rsidRPr="00B55111">
        <w:rPr>
          <w:szCs w:val="24"/>
          <w:lang w:val="sv-SE"/>
        </w:rPr>
        <w:t>(ABT-333),</w:t>
      </w:r>
      <w:r w:rsidRPr="00B55111">
        <w:rPr>
          <w:szCs w:val="24"/>
          <w:lang w:val="sv-SE"/>
        </w:rPr>
        <w:t xml:space="preserve"> kan ha potential att öka andelen patienter som helt och hållet kan bli av med viruset. </w:t>
      </w:r>
    </w:p>
    <w:p w:rsidR="00182378" w:rsidRPr="00B96EF1" w:rsidRDefault="00182378">
      <w:pPr>
        <w:pStyle w:val="Abbott-BodyCopy"/>
        <w:rPr>
          <w:szCs w:val="24"/>
          <w:lang w:val="sv-SE"/>
        </w:rPr>
      </w:pPr>
    </w:p>
    <w:p w:rsidR="00182378" w:rsidRPr="00B96EF1" w:rsidRDefault="00182378">
      <w:pPr>
        <w:pStyle w:val="Default"/>
        <w:ind w:right="675"/>
        <w:rPr>
          <w:rFonts w:cs="Times New Roman"/>
          <w:lang w:val="sv-SE"/>
        </w:rPr>
      </w:pPr>
      <w:r w:rsidRPr="00B96EF1">
        <w:rPr>
          <w:rFonts w:cs="Times New Roman"/>
          <w:b/>
          <w:sz w:val="22"/>
          <w:lang w:val="sv-SE"/>
        </w:rPr>
        <w:t xml:space="preserve">Viktiga resultat – arm 1 med tidigare obehandlade patienter </w:t>
      </w:r>
    </w:p>
    <w:p w:rsidR="00182378" w:rsidRPr="00B96EF1" w:rsidRDefault="00182378">
      <w:pPr>
        <w:pStyle w:val="Abbott-BodyCopy"/>
        <w:rPr>
          <w:szCs w:val="24"/>
          <w:lang w:val="sv-SE"/>
        </w:rPr>
      </w:pPr>
      <w:r w:rsidRPr="00B96EF1">
        <w:rPr>
          <w:szCs w:val="24"/>
          <w:lang w:val="sv-SE"/>
        </w:rPr>
        <w:t>• ABT-450/r 250/100 mg, en gång dagligen +</w:t>
      </w:r>
      <w:r w:rsidRPr="00B96EF1">
        <w:rPr>
          <w:b/>
          <w:szCs w:val="24"/>
          <w:lang w:val="sv-SE"/>
        </w:rPr>
        <w:t xml:space="preserve"> </w:t>
      </w:r>
      <w:r w:rsidRPr="00B96EF1">
        <w:rPr>
          <w:szCs w:val="24"/>
          <w:lang w:val="sv-SE"/>
        </w:rPr>
        <w:t xml:space="preserve">ABT-333 400 mg, två gånger dagligen + ribavirin </w:t>
      </w:r>
      <w:r>
        <w:rPr>
          <w:szCs w:val="24"/>
          <w:lang w:val="sv-SE"/>
        </w:rPr>
        <w:t>på</w:t>
      </w:r>
      <w:r w:rsidRPr="00B96EF1">
        <w:rPr>
          <w:szCs w:val="24"/>
          <w:lang w:val="sv-SE"/>
        </w:rPr>
        <w:t xml:space="preserve"> behandlingsnaiva patienter infekterade med HCV GT1 </w:t>
      </w:r>
    </w:p>
    <w:p w:rsidR="00182378" w:rsidRPr="00B96EF1" w:rsidRDefault="00182378">
      <w:pPr>
        <w:pStyle w:val="Abbott-BodyCopy"/>
        <w:rPr>
          <w:szCs w:val="24"/>
          <w:lang w:val="sv-SE"/>
        </w:rPr>
      </w:pPr>
      <w:r w:rsidRPr="00B96EF1">
        <w:rPr>
          <w:szCs w:val="24"/>
          <w:lang w:val="sv-SE"/>
        </w:rPr>
        <w:t>• 95 procent (18 av 19) uppnådde SVR</w:t>
      </w:r>
      <w:r w:rsidRPr="00B96EF1">
        <w:rPr>
          <w:sz w:val="14"/>
          <w:szCs w:val="24"/>
          <w:lang w:val="sv-SE"/>
        </w:rPr>
        <w:t>12</w:t>
      </w:r>
      <w:r w:rsidRPr="00B96EF1">
        <w:rPr>
          <w:szCs w:val="24"/>
          <w:lang w:val="sv-SE"/>
        </w:rPr>
        <w:t xml:space="preserve"> </w:t>
      </w:r>
    </w:p>
    <w:p w:rsidR="00182378" w:rsidRPr="00B55111" w:rsidRDefault="00182378">
      <w:pPr>
        <w:pStyle w:val="Abbott-BodyCopy"/>
        <w:rPr>
          <w:szCs w:val="24"/>
          <w:lang w:val="sv-SE"/>
        </w:rPr>
      </w:pPr>
      <w:r w:rsidRPr="00B55111">
        <w:rPr>
          <w:szCs w:val="24"/>
          <w:lang w:val="sv-SE"/>
        </w:rPr>
        <w:t xml:space="preserve">• Inga återfall efter behandling förekom hos dessa patienter  </w:t>
      </w:r>
    </w:p>
    <w:p w:rsidR="00182378" w:rsidRPr="00B55111" w:rsidRDefault="00182378">
      <w:pPr>
        <w:pStyle w:val="Abbott-BodyCopy"/>
        <w:rPr>
          <w:szCs w:val="24"/>
          <w:lang w:val="sv-SE"/>
        </w:rPr>
      </w:pPr>
      <w:r w:rsidRPr="00B55111">
        <w:rPr>
          <w:szCs w:val="24"/>
          <w:lang w:val="sv-SE"/>
        </w:rPr>
        <w:t xml:space="preserve">• En patient avbröt vecka 2 på grund av enstaka, symtomfria ALT/AST-förhöjningar </w:t>
      </w:r>
    </w:p>
    <w:p w:rsidR="00182378" w:rsidRPr="00B55111" w:rsidRDefault="00182378">
      <w:pPr>
        <w:pStyle w:val="Abbott-BodyCopy"/>
        <w:rPr>
          <w:szCs w:val="24"/>
          <w:lang w:val="sv-SE"/>
        </w:rPr>
      </w:pPr>
      <w:r w:rsidRPr="00B55111">
        <w:rPr>
          <w:szCs w:val="24"/>
          <w:lang w:val="sv-SE"/>
        </w:rPr>
        <w:t xml:space="preserve">• Fördelning av HCV-genotyp: 17 </w:t>
      </w:r>
      <w:r w:rsidR="000B5C4B" w:rsidRPr="00B55111">
        <w:rPr>
          <w:szCs w:val="24"/>
          <w:lang w:val="sv-SE"/>
        </w:rPr>
        <w:t>st</w:t>
      </w:r>
      <w:r w:rsidR="0085696E" w:rsidRPr="00B55111">
        <w:rPr>
          <w:szCs w:val="24"/>
          <w:lang w:val="sv-SE"/>
        </w:rPr>
        <w:t xml:space="preserve"> GT-</w:t>
      </w:r>
      <w:r w:rsidRPr="00B55111">
        <w:rPr>
          <w:szCs w:val="24"/>
          <w:lang w:val="sv-SE"/>
        </w:rPr>
        <w:t xml:space="preserve">1a, 2 st </w:t>
      </w:r>
      <w:r w:rsidR="0085696E" w:rsidRPr="00B55111">
        <w:rPr>
          <w:szCs w:val="24"/>
          <w:lang w:val="sv-SE"/>
        </w:rPr>
        <w:t>GT-</w:t>
      </w:r>
      <w:r w:rsidRPr="00B55111">
        <w:rPr>
          <w:szCs w:val="24"/>
          <w:lang w:val="sv-SE"/>
        </w:rPr>
        <w:t>1b</w:t>
      </w:r>
    </w:p>
    <w:p w:rsidR="00182378" w:rsidRPr="00B55111" w:rsidRDefault="00182378">
      <w:pPr>
        <w:pStyle w:val="Abbott-BodyCopy"/>
        <w:rPr>
          <w:szCs w:val="24"/>
          <w:lang w:val="sv-SE"/>
        </w:rPr>
      </w:pPr>
      <w:r w:rsidRPr="00B55111">
        <w:rPr>
          <w:szCs w:val="24"/>
          <w:lang w:val="sv-SE"/>
        </w:rPr>
        <w:t xml:space="preserve">• Fördelning av IL28-genotyp: 10 st C/C, 7 st C/T, 2 st T/T </w:t>
      </w:r>
    </w:p>
    <w:p w:rsidR="00182378" w:rsidRPr="00B96EF1" w:rsidRDefault="00182378">
      <w:pPr>
        <w:pStyle w:val="Abbott-BodyCopy"/>
        <w:rPr>
          <w:szCs w:val="24"/>
          <w:lang w:val="sv-SE"/>
        </w:rPr>
      </w:pPr>
    </w:p>
    <w:p w:rsidR="00182378" w:rsidRPr="00B96EF1" w:rsidRDefault="00182378">
      <w:pPr>
        <w:pStyle w:val="Default"/>
        <w:ind w:right="675"/>
        <w:rPr>
          <w:rFonts w:cs="Times New Roman"/>
          <w:lang w:val="sv-SE"/>
        </w:rPr>
      </w:pPr>
      <w:r w:rsidRPr="00B96EF1">
        <w:rPr>
          <w:rFonts w:cs="Times New Roman"/>
          <w:b/>
          <w:sz w:val="22"/>
          <w:lang w:val="sv-SE"/>
        </w:rPr>
        <w:t xml:space="preserve">Viktiga resultat – arm 2 med tidigare obehandlade patienter </w:t>
      </w:r>
    </w:p>
    <w:p w:rsidR="00182378" w:rsidRPr="00B96EF1" w:rsidRDefault="00182378">
      <w:pPr>
        <w:pStyle w:val="Abbott-BodyCopy"/>
        <w:rPr>
          <w:szCs w:val="24"/>
          <w:lang w:val="sv-SE"/>
        </w:rPr>
      </w:pPr>
      <w:r w:rsidRPr="00B96EF1">
        <w:rPr>
          <w:szCs w:val="24"/>
          <w:lang w:val="sv-SE"/>
        </w:rPr>
        <w:t>• ABT-450/r 150/100 mg, en gång dagligen +</w:t>
      </w:r>
      <w:r w:rsidRPr="00B96EF1">
        <w:rPr>
          <w:b/>
          <w:szCs w:val="24"/>
          <w:lang w:val="sv-SE"/>
        </w:rPr>
        <w:t xml:space="preserve"> </w:t>
      </w:r>
      <w:r w:rsidRPr="00B96EF1">
        <w:rPr>
          <w:szCs w:val="24"/>
          <w:lang w:val="sv-SE"/>
        </w:rPr>
        <w:t xml:space="preserve">ABT-333 400 mg, två gånger dagligen + ribavirin </w:t>
      </w:r>
      <w:r>
        <w:rPr>
          <w:szCs w:val="24"/>
          <w:lang w:val="sv-SE"/>
        </w:rPr>
        <w:t>på</w:t>
      </w:r>
      <w:r w:rsidRPr="00B96EF1">
        <w:rPr>
          <w:szCs w:val="24"/>
          <w:lang w:val="sv-SE"/>
        </w:rPr>
        <w:t xml:space="preserve"> behandlingsnaiva patienter infekterade med HCV GT1 </w:t>
      </w:r>
    </w:p>
    <w:p w:rsidR="00182378" w:rsidRPr="00B96EF1" w:rsidRDefault="00182378">
      <w:pPr>
        <w:pStyle w:val="Abbott-BodyCopy"/>
        <w:rPr>
          <w:szCs w:val="24"/>
          <w:lang w:val="sv-SE"/>
        </w:rPr>
      </w:pPr>
      <w:r w:rsidRPr="00B96EF1">
        <w:rPr>
          <w:szCs w:val="24"/>
          <w:lang w:val="sv-SE"/>
        </w:rPr>
        <w:t>• 93 procent (13 av 14) uppnådde SVR</w:t>
      </w:r>
      <w:r w:rsidRPr="00B96EF1">
        <w:rPr>
          <w:sz w:val="14"/>
          <w:szCs w:val="24"/>
          <w:lang w:val="sv-SE"/>
        </w:rPr>
        <w:t>12</w:t>
      </w:r>
      <w:r w:rsidRPr="00B96EF1">
        <w:rPr>
          <w:szCs w:val="24"/>
          <w:lang w:val="sv-SE"/>
        </w:rPr>
        <w:t xml:space="preserve"> </w:t>
      </w:r>
    </w:p>
    <w:p w:rsidR="00182378" w:rsidRPr="00B96EF1" w:rsidRDefault="00182378">
      <w:pPr>
        <w:pStyle w:val="Abbott-BodyCopy"/>
        <w:rPr>
          <w:szCs w:val="24"/>
          <w:lang w:val="sv-SE"/>
        </w:rPr>
      </w:pPr>
      <w:r w:rsidRPr="00B96EF1">
        <w:rPr>
          <w:szCs w:val="24"/>
          <w:lang w:val="sv-SE"/>
        </w:rPr>
        <w:t>• Inga återfall efter behandling förekom hos dessa patienter</w:t>
      </w:r>
      <w:r w:rsidRPr="00B96EF1">
        <w:rPr>
          <w:b/>
          <w:szCs w:val="24"/>
          <w:lang w:val="sv-SE"/>
        </w:rPr>
        <w:t xml:space="preserve"> </w:t>
      </w:r>
    </w:p>
    <w:p w:rsidR="00182378" w:rsidRPr="00B55111" w:rsidRDefault="00182378">
      <w:pPr>
        <w:pStyle w:val="Abbott-BodyCopy"/>
        <w:rPr>
          <w:szCs w:val="24"/>
          <w:lang w:val="sv-SE"/>
        </w:rPr>
      </w:pPr>
      <w:r w:rsidRPr="00B55111">
        <w:rPr>
          <w:szCs w:val="24"/>
          <w:lang w:val="sv-SE"/>
        </w:rPr>
        <w:t xml:space="preserve">• En patient avbröt vecka 1 på grund av bristande behandlingsföljsamhet </w:t>
      </w:r>
    </w:p>
    <w:p w:rsidR="00182378" w:rsidRPr="00B55111" w:rsidRDefault="00182378">
      <w:pPr>
        <w:pStyle w:val="Abbott-BodyCopy"/>
        <w:rPr>
          <w:szCs w:val="24"/>
          <w:lang w:val="sv-SE"/>
        </w:rPr>
      </w:pPr>
      <w:r w:rsidRPr="00B55111">
        <w:rPr>
          <w:szCs w:val="24"/>
          <w:lang w:val="sv-SE"/>
        </w:rPr>
        <w:t>• Fördelning av HCV-genotyp: 11 st</w:t>
      </w:r>
      <w:r w:rsidR="0085696E" w:rsidRPr="00B55111">
        <w:rPr>
          <w:szCs w:val="24"/>
          <w:lang w:val="sv-SE"/>
        </w:rPr>
        <w:t xml:space="preserve"> GT-</w:t>
      </w:r>
      <w:r w:rsidRPr="00B55111">
        <w:rPr>
          <w:szCs w:val="24"/>
          <w:lang w:val="sv-SE"/>
        </w:rPr>
        <w:t>1a, 3 st</w:t>
      </w:r>
      <w:r w:rsidR="0085696E" w:rsidRPr="00B55111">
        <w:rPr>
          <w:szCs w:val="24"/>
          <w:lang w:val="sv-SE"/>
        </w:rPr>
        <w:t xml:space="preserve"> GT-</w:t>
      </w:r>
      <w:r w:rsidRPr="00B55111">
        <w:rPr>
          <w:szCs w:val="24"/>
          <w:lang w:val="sv-SE"/>
        </w:rPr>
        <w:t xml:space="preserve">1b </w:t>
      </w:r>
    </w:p>
    <w:p w:rsidR="00182378" w:rsidRPr="00B55111" w:rsidRDefault="00182378">
      <w:pPr>
        <w:pStyle w:val="Abbott-BodyCopy"/>
        <w:rPr>
          <w:szCs w:val="24"/>
          <w:lang w:val="sv-SE"/>
        </w:rPr>
      </w:pPr>
      <w:r w:rsidRPr="00B55111">
        <w:rPr>
          <w:szCs w:val="24"/>
          <w:lang w:val="sv-SE"/>
        </w:rPr>
        <w:t xml:space="preserve">• Fördelning av IL28-genotyp: 5 st C/C, 7 st C/T, 2 st T/T  </w:t>
      </w:r>
    </w:p>
    <w:p w:rsidR="00182378" w:rsidRPr="00B96EF1" w:rsidRDefault="00182378">
      <w:pPr>
        <w:pStyle w:val="Abbott-BodyCopy"/>
        <w:rPr>
          <w:szCs w:val="24"/>
          <w:lang w:val="sv-SE"/>
        </w:rPr>
      </w:pPr>
    </w:p>
    <w:p w:rsidR="00182378" w:rsidRPr="00B96EF1" w:rsidRDefault="00182378">
      <w:pPr>
        <w:pStyle w:val="Default"/>
        <w:ind w:right="675"/>
        <w:rPr>
          <w:rFonts w:cs="Times New Roman"/>
          <w:lang w:val="sv-SE"/>
        </w:rPr>
      </w:pPr>
      <w:r w:rsidRPr="00B96EF1">
        <w:rPr>
          <w:rFonts w:cs="Times New Roman"/>
          <w:b/>
          <w:sz w:val="22"/>
          <w:lang w:val="sv-SE"/>
        </w:rPr>
        <w:t xml:space="preserve">Viktiga resultat – arm 3 med patienter som inte svarat på tidigare behandling </w:t>
      </w:r>
    </w:p>
    <w:p w:rsidR="00182378" w:rsidRPr="00B96EF1" w:rsidRDefault="00182378">
      <w:pPr>
        <w:pStyle w:val="Abbott-BodyCopy"/>
        <w:rPr>
          <w:szCs w:val="24"/>
          <w:lang w:val="sv-SE"/>
        </w:rPr>
      </w:pPr>
      <w:r w:rsidRPr="00B96EF1">
        <w:rPr>
          <w:szCs w:val="24"/>
          <w:lang w:val="sv-SE"/>
        </w:rPr>
        <w:t>• ABT-450/r 150/100 mg, en gång dagligen +</w:t>
      </w:r>
      <w:r w:rsidRPr="00B96EF1">
        <w:rPr>
          <w:b/>
          <w:szCs w:val="24"/>
          <w:lang w:val="sv-SE"/>
        </w:rPr>
        <w:t xml:space="preserve"> </w:t>
      </w:r>
      <w:r w:rsidRPr="00B96EF1">
        <w:rPr>
          <w:szCs w:val="24"/>
          <w:lang w:val="sv-SE"/>
        </w:rPr>
        <w:t xml:space="preserve">ABT-333 400 mg, två gånger dagligen + ribavirin </w:t>
      </w:r>
      <w:r>
        <w:rPr>
          <w:szCs w:val="24"/>
          <w:lang w:val="sv-SE"/>
        </w:rPr>
        <w:t>på</w:t>
      </w:r>
      <w:r w:rsidRPr="00B96EF1">
        <w:rPr>
          <w:szCs w:val="24"/>
          <w:lang w:val="sv-SE"/>
        </w:rPr>
        <w:t xml:space="preserve"> patienter som tidigare inte hade svarat på andra HCV-behandlingar</w:t>
      </w:r>
      <w:r w:rsidRPr="00B96EF1">
        <w:rPr>
          <w:i/>
          <w:szCs w:val="24"/>
          <w:lang w:val="sv-SE"/>
        </w:rPr>
        <w:t xml:space="preserve"> </w:t>
      </w:r>
    </w:p>
    <w:p w:rsidR="00182378" w:rsidRPr="00B55111" w:rsidRDefault="00182378">
      <w:pPr>
        <w:pStyle w:val="Abbott-BodyCopy"/>
        <w:rPr>
          <w:szCs w:val="24"/>
          <w:lang w:val="sv-SE"/>
        </w:rPr>
      </w:pPr>
      <w:r w:rsidRPr="00B55111">
        <w:rPr>
          <w:szCs w:val="24"/>
          <w:lang w:val="sv-SE"/>
        </w:rPr>
        <w:t>• 47 procent (8 av 17) uppnådde SVR</w:t>
      </w:r>
      <w:r w:rsidRPr="00B55111">
        <w:rPr>
          <w:sz w:val="14"/>
          <w:szCs w:val="24"/>
          <w:lang w:val="sv-SE"/>
        </w:rPr>
        <w:t>12</w:t>
      </w:r>
      <w:r w:rsidRPr="00B55111">
        <w:rPr>
          <w:szCs w:val="24"/>
          <w:lang w:val="sv-SE"/>
        </w:rPr>
        <w:t xml:space="preserve"> </w:t>
      </w:r>
      <w:r w:rsidRPr="00B55111">
        <w:rPr>
          <w:i/>
          <w:szCs w:val="24"/>
          <w:lang w:val="sv-SE"/>
        </w:rPr>
        <w:t xml:space="preserve"> </w:t>
      </w:r>
    </w:p>
    <w:p w:rsidR="00182378" w:rsidRPr="00B55111" w:rsidRDefault="00182378">
      <w:pPr>
        <w:pStyle w:val="Abbott-BodyCopy"/>
        <w:rPr>
          <w:szCs w:val="24"/>
          <w:lang w:val="sv-SE"/>
        </w:rPr>
      </w:pPr>
      <w:r w:rsidRPr="00B55111">
        <w:rPr>
          <w:szCs w:val="24"/>
          <w:lang w:val="sv-SE"/>
        </w:rPr>
        <w:t>• Fördelning av HCV-genotyp: 16 st</w:t>
      </w:r>
      <w:r w:rsidR="0085696E" w:rsidRPr="00B55111">
        <w:rPr>
          <w:szCs w:val="24"/>
          <w:lang w:val="sv-SE"/>
        </w:rPr>
        <w:t xml:space="preserve"> GT-</w:t>
      </w:r>
      <w:r w:rsidRPr="00B55111">
        <w:rPr>
          <w:szCs w:val="24"/>
          <w:lang w:val="sv-SE"/>
        </w:rPr>
        <w:t>1a, 1 st</w:t>
      </w:r>
      <w:r w:rsidR="0085696E" w:rsidRPr="00B55111">
        <w:rPr>
          <w:szCs w:val="24"/>
          <w:lang w:val="sv-SE"/>
        </w:rPr>
        <w:t xml:space="preserve"> GT-</w:t>
      </w:r>
      <w:r w:rsidRPr="00B55111">
        <w:rPr>
          <w:szCs w:val="24"/>
          <w:lang w:val="sv-SE"/>
        </w:rPr>
        <w:t xml:space="preserve">1b </w:t>
      </w:r>
    </w:p>
    <w:p w:rsidR="00182378" w:rsidRPr="00B96EF1" w:rsidRDefault="00182378">
      <w:pPr>
        <w:pStyle w:val="Abbott-BodyCopy"/>
        <w:rPr>
          <w:szCs w:val="24"/>
          <w:lang w:val="sv-SE"/>
        </w:rPr>
      </w:pPr>
      <w:r w:rsidRPr="00B55111">
        <w:rPr>
          <w:szCs w:val="24"/>
          <w:lang w:val="sv-SE"/>
        </w:rPr>
        <w:t>• Fördelning av IL28-genotyp: 0 st C/C, 12 st  C/T (50 % uppnådde SVR</w:t>
      </w:r>
      <w:r w:rsidRPr="00B55111">
        <w:rPr>
          <w:sz w:val="14"/>
          <w:szCs w:val="24"/>
          <w:lang w:val="sv-SE"/>
        </w:rPr>
        <w:t>12</w:t>
      </w:r>
      <w:r w:rsidRPr="00B55111">
        <w:rPr>
          <w:szCs w:val="24"/>
          <w:lang w:val="sv-SE"/>
        </w:rPr>
        <w:t>), 5 st T/T</w:t>
      </w:r>
      <w:r w:rsidRPr="00B96EF1">
        <w:rPr>
          <w:szCs w:val="24"/>
          <w:lang w:val="sv-SE"/>
        </w:rPr>
        <w:t xml:space="preserve"> (40 % uppnådde SVR</w:t>
      </w:r>
      <w:r w:rsidRPr="00B96EF1">
        <w:rPr>
          <w:sz w:val="14"/>
          <w:szCs w:val="24"/>
          <w:lang w:val="sv-SE"/>
        </w:rPr>
        <w:t>12</w:t>
      </w:r>
      <w:r w:rsidRPr="00B96EF1">
        <w:rPr>
          <w:szCs w:val="24"/>
          <w:lang w:val="sv-SE"/>
        </w:rPr>
        <w:t xml:space="preserve">) </w:t>
      </w:r>
    </w:p>
    <w:p w:rsidR="00182378" w:rsidRPr="00B55111" w:rsidRDefault="00182378">
      <w:pPr>
        <w:pStyle w:val="Abbott-BodyCopy"/>
        <w:rPr>
          <w:szCs w:val="24"/>
          <w:lang w:val="sv-SE"/>
        </w:rPr>
      </w:pPr>
      <w:r w:rsidRPr="00B55111">
        <w:rPr>
          <w:szCs w:val="24"/>
          <w:lang w:val="sv-SE"/>
        </w:rPr>
        <w:t xml:space="preserve">• Sex patienter </w:t>
      </w:r>
      <w:r w:rsidR="000B5C4B" w:rsidRPr="00B55111">
        <w:rPr>
          <w:szCs w:val="24"/>
          <w:lang w:val="sv-SE"/>
        </w:rPr>
        <w:t>uppvisade</w:t>
      </w:r>
      <w:r w:rsidRPr="00B55111">
        <w:rPr>
          <w:szCs w:val="24"/>
          <w:lang w:val="sv-SE"/>
        </w:rPr>
        <w:t xml:space="preserve"> virusgenombrott under behandling och tre patienter fick återfall efter att behandlingen hade avslutats</w:t>
      </w:r>
    </w:p>
    <w:p w:rsidR="00182378" w:rsidRPr="00B55111" w:rsidRDefault="00182378">
      <w:pPr>
        <w:pStyle w:val="Abbott-BodyCopy"/>
        <w:rPr>
          <w:szCs w:val="24"/>
          <w:lang w:val="sv-SE"/>
        </w:rPr>
      </w:pPr>
      <w:r w:rsidRPr="00B55111">
        <w:rPr>
          <w:szCs w:val="24"/>
          <w:lang w:val="sv-SE"/>
        </w:rPr>
        <w:t xml:space="preserve">• I gruppen patienter som inte hade svarat på tidigare behandling fanns både patienter som inte alls hade svarat på behandling (hos vilka virusnivån inte hade sjunkit med minst 2 log-steg vecka 12 när de fick peg-interferon och ribavirin </w:t>
      </w:r>
      <w:r w:rsidR="000B5C4B" w:rsidRPr="00B55111">
        <w:rPr>
          <w:szCs w:val="24"/>
          <w:lang w:val="sv-SE"/>
        </w:rPr>
        <w:t>tidigare</w:t>
      </w:r>
      <w:r w:rsidRPr="00B55111">
        <w:rPr>
          <w:szCs w:val="24"/>
          <w:lang w:val="sv-SE"/>
        </w:rPr>
        <w:t xml:space="preserve">) och patienter som hade svarat delvis på behandling (hos vilka HCV-RNA inte låg under detektionsgränsen under behandling med peg-interferon och ribavirin tidigare). Svarsfrekvensen i Co-Pilot var likartad för de båda </w:t>
      </w:r>
      <w:r w:rsidR="000B5C4B" w:rsidRPr="00B55111">
        <w:rPr>
          <w:szCs w:val="24"/>
          <w:lang w:val="sv-SE"/>
        </w:rPr>
        <w:t>dessa</w:t>
      </w:r>
      <w:r w:rsidRPr="00B55111">
        <w:rPr>
          <w:szCs w:val="24"/>
          <w:lang w:val="sv-SE"/>
        </w:rPr>
        <w:t xml:space="preserve"> populationer</w:t>
      </w:r>
      <w:r w:rsidR="000B5C4B" w:rsidRPr="00B55111">
        <w:rPr>
          <w:szCs w:val="24"/>
          <w:lang w:val="sv-SE"/>
        </w:rPr>
        <w:t>na).</w:t>
      </w:r>
      <w:r w:rsidRPr="00B55111">
        <w:rPr>
          <w:szCs w:val="24"/>
          <w:lang w:val="sv-SE"/>
        </w:rPr>
        <w:t xml:space="preserve"> </w:t>
      </w:r>
    </w:p>
    <w:p w:rsidR="00182378" w:rsidRPr="00B55111" w:rsidRDefault="00182378">
      <w:pPr>
        <w:pStyle w:val="Abbott-BodyCopy"/>
        <w:rPr>
          <w:szCs w:val="24"/>
          <w:lang w:val="sv-SE"/>
        </w:rPr>
      </w:pPr>
      <w:r w:rsidRPr="00B55111">
        <w:rPr>
          <w:szCs w:val="24"/>
          <w:lang w:val="sv-SE"/>
        </w:rPr>
        <w:t xml:space="preserve">• Undergruppen som inte hade svarat alls på </w:t>
      </w:r>
      <w:r w:rsidR="000B5C4B" w:rsidRPr="00B55111">
        <w:rPr>
          <w:szCs w:val="24"/>
          <w:lang w:val="sv-SE"/>
        </w:rPr>
        <w:t>tidigare</w:t>
      </w:r>
      <w:r w:rsidRPr="00B55111">
        <w:rPr>
          <w:szCs w:val="24"/>
          <w:lang w:val="sv-SE"/>
        </w:rPr>
        <w:t xml:space="preserve"> behandling (6 patienter): 50 % av patienterna uppnådde SVR</w:t>
      </w:r>
      <w:r w:rsidRPr="00B55111">
        <w:rPr>
          <w:sz w:val="14"/>
          <w:szCs w:val="24"/>
          <w:lang w:val="sv-SE"/>
        </w:rPr>
        <w:t>12</w:t>
      </w:r>
      <w:r w:rsidRPr="00B55111">
        <w:rPr>
          <w:szCs w:val="24"/>
          <w:lang w:val="sv-SE"/>
        </w:rPr>
        <w:t xml:space="preserve"> </w:t>
      </w:r>
    </w:p>
    <w:p w:rsidR="00182378" w:rsidRPr="00B55111" w:rsidRDefault="00182378">
      <w:pPr>
        <w:pStyle w:val="Abbott-BodyCopy"/>
        <w:rPr>
          <w:szCs w:val="24"/>
          <w:lang w:val="sv-SE"/>
        </w:rPr>
      </w:pPr>
      <w:r w:rsidRPr="00B55111">
        <w:rPr>
          <w:szCs w:val="24"/>
          <w:lang w:val="sv-SE"/>
        </w:rPr>
        <w:t>• Undergruppen som hade svarat delvis på tidigare behandling (11 patienter): 45 % uppnådde SVR</w:t>
      </w:r>
      <w:r w:rsidRPr="00B55111">
        <w:rPr>
          <w:sz w:val="14"/>
          <w:szCs w:val="24"/>
          <w:lang w:val="sv-SE"/>
        </w:rPr>
        <w:t>12</w:t>
      </w:r>
      <w:r w:rsidRPr="00B55111">
        <w:rPr>
          <w:szCs w:val="24"/>
          <w:lang w:val="sv-SE"/>
        </w:rPr>
        <w:t xml:space="preserve"> </w:t>
      </w:r>
    </w:p>
    <w:p w:rsidR="00182378" w:rsidRPr="00B55111" w:rsidRDefault="00182378">
      <w:pPr>
        <w:pStyle w:val="Abbott-BodyCopy"/>
        <w:rPr>
          <w:szCs w:val="24"/>
          <w:lang w:val="sv-SE"/>
        </w:rPr>
      </w:pPr>
    </w:p>
    <w:p w:rsidR="00182378" w:rsidRPr="00B55111" w:rsidRDefault="00182378">
      <w:pPr>
        <w:pStyle w:val="Abbott-BodyCopy"/>
        <w:rPr>
          <w:szCs w:val="24"/>
          <w:lang w:val="sv-SE"/>
        </w:rPr>
      </w:pPr>
      <w:r w:rsidRPr="00B55111">
        <w:rPr>
          <w:szCs w:val="24"/>
          <w:lang w:val="sv-SE"/>
        </w:rPr>
        <w:t xml:space="preserve">De vanligaste </w:t>
      </w:r>
      <w:r w:rsidR="0085696E" w:rsidRPr="00B55111">
        <w:rPr>
          <w:szCs w:val="24"/>
          <w:lang w:val="sv-SE"/>
        </w:rPr>
        <w:t>o</w:t>
      </w:r>
      <w:r w:rsidR="000B5C4B" w:rsidRPr="00B55111">
        <w:rPr>
          <w:szCs w:val="24"/>
          <w:lang w:val="sv-SE"/>
        </w:rPr>
        <w:t>önskade</w:t>
      </w:r>
      <w:r w:rsidR="0085696E" w:rsidRPr="00B55111">
        <w:rPr>
          <w:szCs w:val="24"/>
          <w:lang w:val="sv-SE"/>
        </w:rPr>
        <w:t xml:space="preserve"> </w:t>
      </w:r>
      <w:r w:rsidRPr="00B55111">
        <w:rPr>
          <w:szCs w:val="24"/>
          <w:lang w:val="sv-SE"/>
        </w:rPr>
        <w:t xml:space="preserve">händelserna i samband med prövningen var trötthet (42 procent), illamående (22 procent) och huvudvärk (20 procent). </w:t>
      </w:r>
    </w:p>
    <w:p w:rsidR="00182378" w:rsidRPr="00B55111" w:rsidRDefault="00182378">
      <w:pPr>
        <w:pStyle w:val="Abbott-BodyCopy"/>
        <w:rPr>
          <w:szCs w:val="24"/>
          <w:lang w:val="sv-SE"/>
        </w:rPr>
      </w:pPr>
    </w:p>
    <w:p w:rsidR="00182378" w:rsidRPr="00B96EF1" w:rsidRDefault="00182378">
      <w:pPr>
        <w:pStyle w:val="Abbott-BodyCopy"/>
        <w:rPr>
          <w:szCs w:val="24"/>
          <w:lang w:val="sv-SE"/>
        </w:rPr>
      </w:pPr>
      <w:r w:rsidRPr="00B55111">
        <w:rPr>
          <w:szCs w:val="24"/>
          <w:lang w:val="sv-SE"/>
        </w:rPr>
        <w:t>– Co-Pilot var en explorativ studie som visar</w:t>
      </w:r>
      <w:r w:rsidR="006A03F3" w:rsidRPr="00B55111">
        <w:rPr>
          <w:szCs w:val="24"/>
          <w:lang w:val="sv-SE"/>
        </w:rPr>
        <w:t xml:space="preserve"> möjligheten att bota en stor andel av de tidigare obehandlade patienterna med genotyp 1 genom 12-veckors korttidsbehandling med </w:t>
      </w:r>
      <w:r w:rsidRPr="00B55111">
        <w:rPr>
          <w:szCs w:val="24"/>
          <w:lang w:val="sv-SE"/>
        </w:rPr>
        <w:t>två av våra direktverkande antivirala läkemedel</w:t>
      </w:r>
      <w:r w:rsidR="006A03F3" w:rsidRPr="00B55111">
        <w:rPr>
          <w:szCs w:val="24"/>
          <w:lang w:val="sv-SE"/>
        </w:rPr>
        <w:t>, h</w:t>
      </w:r>
      <w:r w:rsidRPr="00B55111">
        <w:rPr>
          <w:szCs w:val="24"/>
          <w:lang w:val="sv-SE"/>
        </w:rPr>
        <w:t>elt utan</w:t>
      </w:r>
      <w:r w:rsidRPr="00B96EF1">
        <w:rPr>
          <w:szCs w:val="24"/>
          <w:lang w:val="sv-SE"/>
        </w:rPr>
        <w:t xml:space="preserve"> interferon, säger Scott Brun, M.D., vice verkställande direktör för Abbott-divisionen Infectious Disease Development. Vi fortsätter forska </w:t>
      </w:r>
      <w:r>
        <w:rPr>
          <w:szCs w:val="24"/>
          <w:lang w:val="sv-SE"/>
        </w:rPr>
        <w:t>på</w:t>
      </w:r>
      <w:r w:rsidRPr="00B96EF1">
        <w:rPr>
          <w:szCs w:val="24"/>
          <w:lang w:val="sv-SE"/>
        </w:rPr>
        <w:t xml:space="preserve"> många olika kombinationsbehandlingar med andra läkemedel, bland annat vår NS5A-hämmare. De har potential att förbättra utfallen för patienter som inte har svarat på tidigare behandlingar, och vi ser fram emot att få presentera resultaten längre fram. </w:t>
      </w:r>
    </w:p>
    <w:p w:rsidR="00182378" w:rsidRPr="00B96EF1" w:rsidRDefault="00182378">
      <w:pPr>
        <w:pStyle w:val="Abbott-BodyCopy"/>
        <w:rPr>
          <w:szCs w:val="24"/>
          <w:lang w:val="sv-SE"/>
        </w:rPr>
      </w:pPr>
    </w:p>
    <w:p w:rsidR="00182378" w:rsidRPr="00B96EF1" w:rsidRDefault="00182378">
      <w:pPr>
        <w:pStyle w:val="Default"/>
        <w:ind w:right="675"/>
        <w:rPr>
          <w:rFonts w:cs="Times New Roman"/>
          <w:lang w:val="sv-SE"/>
        </w:rPr>
      </w:pPr>
      <w:r w:rsidRPr="00B96EF1">
        <w:rPr>
          <w:rFonts w:cs="Times New Roman"/>
          <w:b/>
          <w:sz w:val="22"/>
          <w:lang w:val="sv-SE"/>
        </w:rPr>
        <w:t xml:space="preserve">Om studien M12-746 (Co-Pilot) </w:t>
      </w:r>
    </w:p>
    <w:p w:rsidR="00182378" w:rsidRPr="00B55111" w:rsidRDefault="00182378">
      <w:pPr>
        <w:pStyle w:val="Abbott-BodyCopy"/>
        <w:rPr>
          <w:szCs w:val="24"/>
          <w:lang w:val="sv-SE"/>
        </w:rPr>
      </w:pPr>
      <w:r w:rsidRPr="00B96EF1">
        <w:rPr>
          <w:szCs w:val="24"/>
          <w:lang w:val="sv-SE"/>
        </w:rPr>
        <w:t xml:space="preserve">• Målen för fas 2-studien Co-Pilot var att bedöma säkerhet och tolerabilitet för </w:t>
      </w:r>
      <w:r w:rsidRPr="00B55111">
        <w:rPr>
          <w:szCs w:val="24"/>
          <w:lang w:val="sv-SE"/>
        </w:rPr>
        <w:t xml:space="preserve">12 veckor långa interferonfria behandlingsregimer för HCV GT1-patienter som antingen inte hade behandlats tidigare eller </w:t>
      </w:r>
      <w:r w:rsidR="000B5C4B" w:rsidRPr="00B55111">
        <w:rPr>
          <w:szCs w:val="24"/>
          <w:lang w:val="sv-SE"/>
        </w:rPr>
        <w:t>som</w:t>
      </w:r>
      <w:r w:rsidRPr="00B55111">
        <w:rPr>
          <w:szCs w:val="24"/>
          <w:lang w:val="sv-SE"/>
        </w:rPr>
        <w:t xml:space="preserve"> inte hade svarat på tidigare behandling. Prövningen hade tre armar med tre primära effektmått – snabbt virologiskt svar vid vecka 4 och kvarstående virologiskt svar </w:t>
      </w:r>
      <w:r w:rsidR="000B5C4B" w:rsidRPr="00B55111">
        <w:rPr>
          <w:szCs w:val="24"/>
          <w:lang w:val="sv-SE"/>
        </w:rPr>
        <w:t>vid</w:t>
      </w:r>
      <w:r w:rsidRPr="00B55111">
        <w:rPr>
          <w:szCs w:val="24"/>
          <w:lang w:val="sv-SE"/>
        </w:rPr>
        <w:t xml:space="preserve"> vecka 4 och vecka 12 </w:t>
      </w:r>
      <w:r w:rsidR="000B5C4B" w:rsidRPr="00B55111">
        <w:rPr>
          <w:szCs w:val="24"/>
          <w:lang w:val="sv-SE"/>
        </w:rPr>
        <w:t>efter avslutad behandling</w:t>
      </w:r>
      <w:r w:rsidRPr="00B55111">
        <w:rPr>
          <w:szCs w:val="24"/>
          <w:lang w:val="sv-SE"/>
        </w:rPr>
        <w:t xml:space="preserve">. </w:t>
      </w:r>
    </w:p>
    <w:p w:rsidR="00182378" w:rsidRPr="00B96EF1" w:rsidRDefault="00182378">
      <w:pPr>
        <w:pStyle w:val="Abbott-BodyCopy"/>
        <w:rPr>
          <w:szCs w:val="24"/>
          <w:lang w:val="sv-SE"/>
        </w:rPr>
      </w:pPr>
      <w:r w:rsidRPr="00B55111">
        <w:rPr>
          <w:szCs w:val="24"/>
          <w:lang w:val="sv-SE"/>
        </w:rPr>
        <w:t>• GT1-infekterade patienter kunde rekryteras till studien oavsett IL28B-värdgenotyp</w:t>
      </w:r>
      <w:r w:rsidRPr="00B96EF1">
        <w:rPr>
          <w:szCs w:val="24"/>
          <w:lang w:val="sv-SE"/>
        </w:rPr>
        <w:t xml:space="preserve"> och ribavirindosen var viktbaserad. </w:t>
      </w:r>
    </w:p>
    <w:p w:rsidR="00182378" w:rsidRPr="00B96EF1" w:rsidRDefault="00182378">
      <w:pPr>
        <w:pStyle w:val="Default"/>
        <w:ind w:left="567" w:right="673"/>
        <w:rPr>
          <w:rFonts w:cs="Times New Roman"/>
          <w:lang w:val="sv-SE"/>
        </w:rPr>
      </w:pPr>
    </w:p>
    <w:p w:rsidR="00182378" w:rsidRPr="00B96EF1" w:rsidRDefault="00182378">
      <w:pPr>
        <w:pStyle w:val="Abbott-BodyCopy"/>
        <w:rPr>
          <w:szCs w:val="24"/>
          <w:lang w:val="sv-SE"/>
        </w:rPr>
      </w:pPr>
      <w:r w:rsidRPr="00B96EF1">
        <w:rPr>
          <w:szCs w:val="24"/>
          <w:lang w:val="sv-SE"/>
        </w:rPr>
        <w:t xml:space="preserve">ABT-450 utvecklas med låga doser av ritonavir, som förstärker de farmakokinetiska egenskaperna hos ABT-450. Ritonavir 100 mg + ABT-450 är en försöksbehandling för HCV. </w:t>
      </w:r>
    </w:p>
    <w:p w:rsidR="00182378" w:rsidRPr="00B96EF1" w:rsidRDefault="00182378">
      <w:pPr>
        <w:pStyle w:val="Abbott-BodyCopy"/>
        <w:rPr>
          <w:szCs w:val="24"/>
          <w:lang w:val="sv-SE"/>
        </w:rPr>
      </w:pPr>
    </w:p>
    <w:p w:rsidR="00182378" w:rsidRPr="00B96EF1" w:rsidRDefault="00182378">
      <w:pPr>
        <w:pStyle w:val="Abbott-BodyCopy"/>
        <w:rPr>
          <w:szCs w:val="24"/>
          <w:lang w:val="sv-SE"/>
        </w:rPr>
      </w:pPr>
      <w:r w:rsidRPr="00B96EF1">
        <w:rPr>
          <w:szCs w:val="24"/>
          <w:lang w:val="sv-SE"/>
        </w:rPr>
        <w:t>ABT-450 upptäcktes under ett samarbete mellan Abbott och Enanta Pharmaceuticals om proteashämmare. ABT-450 utvecklas av Abbott för användning i kombination med Abbotts icke-nukleosida polymerashämmare (ABT-333 och ABT-072) och NS5A-hämmare (ABT-267). Nya data från pågående större kliniska fas 2-prövningar förväntas längre fram i år.</w:t>
      </w:r>
      <w:r w:rsidRPr="00B96EF1">
        <w:rPr>
          <w:sz w:val="23"/>
          <w:szCs w:val="24"/>
          <w:lang w:val="sv-SE"/>
        </w:rPr>
        <w:t xml:space="preserve"> </w:t>
      </w:r>
    </w:p>
    <w:p w:rsidR="00182378" w:rsidRPr="00B96EF1" w:rsidRDefault="00182378">
      <w:pPr>
        <w:pStyle w:val="Abbott-BodyCopy"/>
        <w:rPr>
          <w:szCs w:val="24"/>
          <w:lang w:val="sv-SE"/>
        </w:rPr>
      </w:pPr>
    </w:p>
    <w:p w:rsidR="00182378" w:rsidRPr="00B96EF1" w:rsidRDefault="00182378">
      <w:pPr>
        <w:pStyle w:val="Default"/>
        <w:keepNext/>
        <w:ind w:right="675"/>
        <w:rPr>
          <w:rFonts w:cs="Times New Roman"/>
          <w:lang w:val="sv-SE"/>
        </w:rPr>
      </w:pPr>
      <w:r w:rsidRPr="00B96EF1">
        <w:rPr>
          <w:rFonts w:cs="Times New Roman"/>
          <w:b/>
          <w:sz w:val="22"/>
          <w:lang w:val="sv-SE"/>
        </w:rPr>
        <w:t xml:space="preserve">Om hepatit C-virus </w:t>
      </w:r>
    </w:p>
    <w:p w:rsidR="00182378" w:rsidRPr="00B96EF1" w:rsidRDefault="00182378">
      <w:pPr>
        <w:pStyle w:val="Abbott-BodyCopy"/>
        <w:keepNext/>
        <w:rPr>
          <w:szCs w:val="24"/>
          <w:lang w:val="sv-SE"/>
        </w:rPr>
      </w:pPr>
      <w:r w:rsidRPr="00B96EF1">
        <w:rPr>
          <w:szCs w:val="24"/>
          <w:lang w:val="sv-SE"/>
        </w:rPr>
        <w:t>Upp till 170 miljoner människor i hela världen lider av hepatit C, den leversjukdom som orsakas av hepatit C-virus. Viruset sprids huvudsakligen genom kontakt med blod från en infekterad person.</w:t>
      </w:r>
      <w:r w:rsidRPr="00B96EF1">
        <w:rPr>
          <w:sz w:val="14"/>
          <w:szCs w:val="24"/>
          <w:lang w:val="sv-SE"/>
        </w:rPr>
        <w:t xml:space="preserve"> </w:t>
      </w:r>
      <w:r>
        <w:rPr>
          <w:szCs w:val="24"/>
          <w:lang w:val="sv-SE"/>
        </w:rPr>
        <w:t>I</w:t>
      </w:r>
      <w:r w:rsidRPr="00B96EF1">
        <w:rPr>
          <w:szCs w:val="24"/>
          <w:lang w:val="sv-SE"/>
        </w:rPr>
        <w:t>nfektion</w:t>
      </w:r>
      <w:r>
        <w:rPr>
          <w:szCs w:val="24"/>
          <w:lang w:val="sv-SE"/>
        </w:rPr>
        <w:t>en</w:t>
      </w:r>
      <w:r w:rsidRPr="00B96EF1">
        <w:rPr>
          <w:szCs w:val="24"/>
          <w:lang w:val="sv-SE"/>
        </w:rPr>
        <w:t xml:space="preserve"> ökar risken för att drabbas av kronisk leversjukdom, cirros och levercancer och ökar dödligheten hos patienterna. Dessutom blir det allt vanligare med leversjukdom </w:t>
      </w:r>
      <w:r>
        <w:rPr>
          <w:szCs w:val="24"/>
          <w:lang w:val="sv-SE"/>
        </w:rPr>
        <w:t>som har</w:t>
      </w:r>
      <w:r w:rsidRPr="00B96EF1">
        <w:rPr>
          <w:szCs w:val="24"/>
          <w:lang w:val="sv-SE"/>
        </w:rPr>
        <w:t xml:space="preserve"> samband med HCV-infektion.  </w:t>
      </w:r>
    </w:p>
    <w:p w:rsidR="00182378" w:rsidRPr="00B96EF1" w:rsidRDefault="00182378">
      <w:pPr>
        <w:pStyle w:val="Abbott-BodyCopy"/>
        <w:rPr>
          <w:szCs w:val="24"/>
          <w:lang w:val="sv-SE"/>
        </w:rPr>
      </w:pPr>
    </w:p>
    <w:p w:rsidR="00182378" w:rsidRPr="00B96EF1" w:rsidRDefault="00182378">
      <w:pPr>
        <w:pStyle w:val="Default"/>
        <w:ind w:right="675"/>
        <w:rPr>
          <w:rFonts w:cs="Times New Roman"/>
          <w:lang w:val="sv-SE"/>
        </w:rPr>
      </w:pPr>
      <w:r w:rsidRPr="00B96EF1">
        <w:rPr>
          <w:rFonts w:cs="Times New Roman"/>
          <w:b/>
          <w:sz w:val="22"/>
          <w:lang w:val="sv-SE"/>
        </w:rPr>
        <w:t>Användning av ritonavir för behandling av H</w:t>
      </w:r>
      <w:r>
        <w:rPr>
          <w:rFonts w:cs="Times New Roman"/>
          <w:b/>
          <w:sz w:val="22"/>
          <w:lang w:val="sv-SE"/>
        </w:rPr>
        <w:t>I</w:t>
      </w:r>
      <w:r w:rsidRPr="00B96EF1">
        <w:rPr>
          <w:rFonts w:cs="Times New Roman"/>
          <w:b/>
          <w:sz w:val="22"/>
          <w:lang w:val="sv-SE"/>
        </w:rPr>
        <w:t xml:space="preserve">V </w:t>
      </w:r>
    </w:p>
    <w:p w:rsidR="00182378" w:rsidRPr="00B96EF1" w:rsidRDefault="00182378">
      <w:pPr>
        <w:pStyle w:val="Abbott-BodyCopy"/>
        <w:rPr>
          <w:szCs w:val="24"/>
          <w:lang w:val="sv-SE"/>
        </w:rPr>
      </w:pPr>
      <w:r w:rsidRPr="00B96EF1">
        <w:rPr>
          <w:szCs w:val="24"/>
          <w:lang w:val="sv-SE"/>
        </w:rPr>
        <w:t xml:space="preserve">Ritonavir tillhör läkemedelsklassen HIV-proteashämmare. Det används i kombination med andra anti-HIV-läkemedel för att behandla patienter som är infekterade med humant immunbristvirus, HIV. Ritonavir är avsett för vuxna och barn över en månads ålder. </w:t>
      </w:r>
    </w:p>
    <w:p w:rsidR="00182378" w:rsidRPr="00B96EF1" w:rsidRDefault="00182378">
      <w:pPr>
        <w:pStyle w:val="Abbott-BodyCopy"/>
        <w:rPr>
          <w:szCs w:val="24"/>
          <w:lang w:val="sv-SE"/>
        </w:rPr>
      </w:pPr>
    </w:p>
    <w:p w:rsidR="00182378" w:rsidRPr="00B96EF1" w:rsidRDefault="00182378">
      <w:pPr>
        <w:pStyle w:val="Abbott-BodyCopy"/>
        <w:rPr>
          <w:szCs w:val="24"/>
          <w:lang w:val="sv-SE"/>
        </w:rPr>
      </w:pPr>
      <w:r w:rsidRPr="00B96EF1">
        <w:rPr>
          <w:szCs w:val="24"/>
          <w:u w:val="single"/>
          <w:lang w:val="sv-SE"/>
        </w:rPr>
        <w:t xml:space="preserve">Ritonavir botar inte HIV-infektion eller AIDS och minskar inte risken för att man ska sprida HIV till andra. Den som behandlas med ritonavir kan fortfarande få opportunistiska infektioner eller andra sjukdomar som är förknippade med HIV-infektion. Några exempel på sådana sjukdomar är lunginflammation, herpesvirusinfektioner och infektioner med </w:t>
      </w:r>
      <w:r w:rsidRPr="00B96EF1">
        <w:rPr>
          <w:i/>
          <w:szCs w:val="24"/>
          <w:u w:val="single"/>
          <w:lang w:val="sv-SE"/>
        </w:rPr>
        <w:t>Mycobacterium avium</w:t>
      </w:r>
      <w:r w:rsidRPr="00B96EF1">
        <w:rPr>
          <w:szCs w:val="24"/>
          <w:u w:val="single"/>
          <w:lang w:val="sv-SE"/>
        </w:rPr>
        <w:t xml:space="preserve">-komplex (MAC). </w:t>
      </w:r>
    </w:p>
    <w:p w:rsidR="00182378" w:rsidRPr="00B96EF1" w:rsidRDefault="00182378">
      <w:pPr>
        <w:pStyle w:val="Abbott-BodyCopy"/>
        <w:rPr>
          <w:szCs w:val="24"/>
          <w:lang w:val="sv-SE"/>
        </w:rPr>
      </w:pPr>
    </w:p>
    <w:p w:rsidR="00182378" w:rsidRPr="00B96EF1" w:rsidRDefault="00182378">
      <w:pPr>
        <w:pStyle w:val="Default"/>
        <w:ind w:right="675"/>
        <w:rPr>
          <w:rFonts w:cs="Times New Roman"/>
          <w:lang w:val="sv-SE"/>
        </w:rPr>
      </w:pPr>
      <w:r w:rsidRPr="00B96EF1">
        <w:rPr>
          <w:rFonts w:cs="Times New Roman"/>
          <w:b/>
          <w:sz w:val="22"/>
          <w:lang w:val="sv-SE"/>
        </w:rPr>
        <w:t xml:space="preserve">Säkerhet hos ritonavir vid HIV-behandling </w:t>
      </w:r>
    </w:p>
    <w:p w:rsidR="00182378" w:rsidRPr="00B96EF1" w:rsidRDefault="00182378">
      <w:pPr>
        <w:pStyle w:val="Abbott-BodyCopy"/>
        <w:rPr>
          <w:szCs w:val="24"/>
          <w:lang w:val="sv-SE"/>
        </w:rPr>
      </w:pPr>
      <w:r w:rsidRPr="00B96EF1">
        <w:rPr>
          <w:szCs w:val="24"/>
          <w:u w:val="single"/>
          <w:lang w:val="sv-SE"/>
        </w:rPr>
        <w:t>Patienter ska inte ta ritonavir tillsammans med vissa läkemedel, eftersom detta kan leda till allvarliga eller livshotande tillstånd</w:t>
      </w:r>
      <w:r w:rsidRPr="00B96EF1">
        <w:rPr>
          <w:szCs w:val="24"/>
          <w:lang w:val="sv-SE"/>
        </w:rPr>
        <w:t xml:space="preserve"> som oregelbunden hjärtrytm, andningssvårigheter eller överdriven trötthet. Patienter ska inte ta ritonavir om de har haft en allvarlig allergisk reaktion mot något av innehållsämnena i ritonavir. En del av de patienter som tar ritonavir kan utveckla lever- och pankreasproblem som kan leda till döden. </w:t>
      </w:r>
    </w:p>
    <w:p w:rsidR="00182378" w:rsidRPr="00B96EF1" w:rsidRDefault="00182378">
      <w:pPr>
        <w:pStyle w:val="Abbott-BodyCopy"/>
        <w:rPr>
          <w:szCs w:val="24"/>
          <w:lang w:val="sv-SE"/>
        </w:rPr>
      </w:pPr>
    </w:p>
    <w:p w:rsidR="00182378" w:rsidRPr="00B96EF1" w:rsidRDefault="00182378">
      <w:pPr>
        <w:pStyle w:val="Abbott-BodyCopy"/>
        <w:rPr>
          <w:szCs w:val="24"/>
          <w:lang w:val="sv-SE"/>
        </w:rPr>
      </w:pPr>
      <w:r w:rsidRPr="00B96EF1">
        <w:rPr>
          <w:szCs w:val="24"/>
          <w:lang w:val="sv-SE"/>
        </w:rPr>
        <w:t xml:space="preserve">Patienter kan drabbas av förhöjda triglycerid- och kolesterolnivåer, diabetes, högt blodsocker, förändringar av kroppsfettet, ökad blödningstendens hos blödarsjuka, allergiska reaktioner och/eller förändringar av hjärtrytmen. Patienter kan också utveckla tecken och symtom på infektioner som de redan har efter att ha börjat ta anti-HIV-läkemedel. </w:t>
      </w:r>
    </w:p>
    <w:p w:rsidR="00182378" w:rsidRPr="00B96EF1" w:rsidRDefault="00182378">
      <w:pPr>
        <w:pStyle w:val="Abbott-BodyCopy"/>
        <w:rPr>
          <w:szCs w:val="24"/>
          <w:lang w:val="sv-SE"/>
        </w:rPr>
      </w:pPr>
    </w:p>
    <w:p w:rsidR="00182378" w:rsidRPr="0055617D" w:rsidRDefault="00182378">
      <w:pPr>
        <w:pStyle w:val="Abbott-BodyCopy"/>
        <w:rPr>
          <w:szCs w:val="24"/>
          <w:lang w:val="sv-SE"/>
        </w:rPr>
      </w:pPr>
      <w:r w:rsidRPr="0055617D">
        <w:rPr>
          <w:szCs w:val="24"/>
          <w:lang w:val="sv-SE"/>
        </w:rPr>
        <w:t xml:space="preserve">Mer information finns i </w:t>
      </w:r>
      <w:hyperlink r:id="rId8" w:history="1">
        <w:r w:rsidRPr="0055617D">
          <w:rPr>
            <w:szCs w:val="24"/>
            <w:u w:val="single"/>
            <w:lang w:val="sv-SE"/>
          </w:rPr>
          <w:t>Important Safety Information</w:t>
        </w:r>
      </w:hyperlink>
      <w:r w:rsidRPr="0055617D">
        <w:rPr>
          <w:szCs w:val="24"/>
          <w:lang w:val="sv-SE"/>
        </w:rPr>
        <w:t xml:space="preserve"> och i den fu</w:t>
      </w:r>
      <w:r w:rsidR="00043CD4" w:rsidRPr="0055617D">
        <w:rPr>
          <w:szCs w:val="24"/>
          <w:lang w:val="sv-SE"/>
        </w:rPr>
        <w:t xml:space="preserve">llständiga produktinresumén för Norvir (ritonavir) </w:t>
      </w:r>
      <w:hyperlink r:id="rId9" w:history="1">
        <w:r w:rsidR="00043CD4" w:rsidRPr="0055617D">
          <w:rPr>
            <w:rStyle w:val="Hyperlink"/>
            <w:color w:val="auto"/>
            <w:szCs w:val="24"/>
            <w:lang w:val="sv-SE"/>
          </w:rPr>
          <w:t>www.fass.se</w:t>
        </w:r>
      </w:hyperlink>
      <w:r w:rsidR="00043CD4" w:rsidRPr="0055617D">
        <w:rPr>
          <w:szCs w:val="24"/>
          <w:lang w:val="sv-SE"/>
        </w:rPr>
        <w:t xml:space="preserve">. </w:t>
      </w:r>
      <w:r w:rsidRPr="0055617D">
        <w:rPr>
          <w:szCs w:val="24"/>
          <w:lang w:val="sv-SE"/>
        </w:rPr>
        <w:t xml:space="preserve"> </w:t>
      </w:r>
    </w:p>
    <w:p w:rsidR="00043CD4" w:rsidRDefault="00043CD4">
      <w:pPr>
        <w:pStyle w:val="Default"/>
        <w:ind w:right="675"/>
        <w:rPr>
          <w:rFonts w:cs="Times New Roman"/>
          <w:b/>
          <w:sz w:val="22"/>
          <w:lang w:val="sv-SE"/>
        </w:rPr>
      </w:pPr>
    </w:p>
    <w:p w:rsidR="00182378" w:rsidRPr="00B96EF1" w:rsidRDefault="00182378">
      <w:pPr>
        <w:pStyle w:val="Default"/>
        <w:ind w:right="675"/>
        <w:rPr>
          <w:rFonts w:cs="Times New Roman"/>
          <w:lang w:val="sv-SE"/>
        </w:rPr>
      </w:pPr>
      <w:r w:rsidRPr="00B96EF1">
        <w:rPr>
          <w:rFonts w:cs="Times New Roman"/>
          <w:b/>
          <w:sz w:val="22"/>
          <w:lang w:val="sv-SE"/>
        </w:rPr>
        <w:t xml:space="preserve">Om Enanta </w:t>
      </w:r>
    </w:p>
    <w:p w:rsidR="00182378" w:rsidRPr="00B96EF1" w:rsidRDefault="00182378">
      <w:pPr>
        <w:pStyle w:val="Abbott-BodyCopy"/>
        <w:rPr>
          <w:szCs w:val="24"/>
          <w:lang w:val="sv-SE"/>
        </w:rPr>
      </w:pPr>
      <w:r w:rsidRPr="00B96EF1">
        <w:rPr>
          <w:szCs w:val="24"/>
          <w:lang w:val="sv-SE"/>
        </w:rPr>
        <w:t xml:space="preserve">Enanta Pharmaceuticals är ett FoU-företag som använder sin nydanande kemiska </w:t>
      </w:r>
      <w:r w:rsidRPr="00B55111">
        <w:rPr>
          <w:szCs w:val="24"/>
          <w:lang w:val="sv-SE"/>
        </w:rPr>
        <w:t>strategi för att upptäcka och utveckla ledande småmolekyl</w:t>
      </w:r>
      <w:r w:rsidR="000B5C4B" w:rsidRPr="00B55111">
        <w:rPr>
          <w:szCs w:val="24"/>
          <w:lang w:val="sv-SE"/>
        </w:rPr>
        <w:t>ära</w:t>
      </w:r>
      <w:r w:rsidRPr="00B55111">
        <w:rPr>
          <w:szCs w:val="24"/>
          <w:lang w:val="sv-SE"/>
        </w:rPr>
        <w:t xml:space="preserve"> läkemedel inom området infektionssjukdomar. Enanta hittar och utvecklar nya hämmare och kombinationer av hämmare som är målriktade mot hepatit C-virus (HCV). Bland hämmarna finns föreningar i klasserna</w:t>
      </w:r>
      <w:r w:rsidR="000B5C4B" w:rsidRPr="00B55111">
        <w:rPr>
          <w:szCs w:val="24"/>
          <w:lang w:val="sv-SE"/>
        </w:rPr>
        <w:t xml:space="preserve">: </w:t>
      </w:r>
      <w:r w:rsidRPr="00B55111">
        <w:rPr>
          <w:szCs w:val="24"/>
          <w:lang w:val="sv-SE"/>
        </w:rPr>
        <w:t>direktverkande antivirala hämmare (i partnerskap med Abbott), NS5A (i partnerskap med Novartis), nukleotidpolymeras och en klass antivirala hämmare vars verkningsmekanism bygger på att de är riktade mot det mänskliga proteinet cyklo</w:t>
      </w:r>
      <w:r w:rsidR="000B5C4B" w:rsidRPr="00B55111">
        <w:rPr>
          <w:szCs w:val="24"/>
          <w:lang w:val="sv-SE"/>
        </w:rPr>
        <w:t>ph</w:t>
      </w:r>
      <w:r w:rsidRPr="00B55111">
        <w:rPr>
          <w:szCs w:val="24"/>
          <w:lang w:val="sv-SE"/>
        </w:rPr>
        <w:t>ilin. En av proteashämmarna, ABT-450, utvärderas i kombination med Abbotts icke-nukleosida polymeras- och NS5A-</w:t>
      </w:r>
      <w:r w:rsidRPr="00B96EF1">
        <w:rPr>
          <w:szCs w:val="24"/>
          <w:lang w:val="sv-SE"/>
        </w:rPr>
        <w:t xml:space="preserve">hämmare. Dessutom har företaget skapat en ny klass av antibiotika som kallas biocyklolider och kringgår bakteriella resistensmekanismer. Enantas antibakteriella projekt är inriktade på att lösa problemet med resistens mot superbakterier, behandla luftvägsinfektioner och utveckla intravenösa och orala behandlingar för sjukhus- och samhällsförvärvade MRSA-infektioner. Enanta är ett privat företag med huvudkontor i Watertown i Massachusetts i USA. Enantas nyhetsmeddelanden och annan information finns på företagets webbplats på </w:t>
      </w:r>
      <w:hyperlink r:id="rId10" w:history="1">
        <w:r w:rsidRPr="00B96EF1">
          <w:rPr>
            <w:color w:val="0000FF"/>
            <w:szCs w:val="24"/>
            <w:u w:val="single"/>
            <w:lang w:val="sv-SE"/>
          </w:rPr>
          <w:t>www.enanta.com</w:t>
        </w:r>
      </w:hyperlink>
      <w:r w:rsidRPr="00B96EF1">
        <w:rPr>
          <w:rFonts w:ascii="Times New Roman" w:hAnsi="Times New Roman"/>
          <w:szCs w:val="24"/>
          <w:lang w:val="sv-SE"/>
        </w:rPr>
        <w:t>.</w:t>
      </w:r>
      <w:r w:rsidRPr="00B96EF1">
        <w:rPr>
          <w:b/>
          <w:szCs w:val="24"/>
          <w:lang w:val="sv-SE"/>
        </w:rPr>
        <w:t xml:space="preserve"> </w:t>
      </w:r>
    </w:p>
    <w:p w:rsidR="00182378" w:rsidRPr="00B96EF1" w:rsidRDefault="00182378">
      <w:pPr>
        <w:pStyle w:val="Abbott-BodyCopy"/>
        <w:rPr>
          <w:szCs w:val="24"/>
          <w:lang w:val="sv-SE"/>
        </w:rPr>
      </w:pPr>
    </w:p>
    <w:p w:rsidR="00182378" w:rsidRPr="00B96EF1" w:rsidRDefault="00182378">
      <w:pPr>
        <w:pStyle w:val="Default"/>
        <w:ind w:right="675"/>
        <w:rPr>
          <w:rFonts w:cs="Times New Roman"/>
          <w:lang w:val="sv-SE"/>
        </w:rPr>
      </w:pPr>
      <w:r w:rsidRPr="00B96EF1">
        <w:rPr>
          <w:rFonts w:cs="Times New Roman"/>
          <w:b/>
          <w:sz w:val="22"/>
          <w:lang w:val="sv-SE"/>
        </w:rPr>
        <w:t>Om Abbotts utvecklingsprogram för HCV</w:t>
      </w:r>
      <w:r w:rsidRPr="00B96EF1">
        <w:rPr>
          <w:rFonts w:cs="Times New Roman"/>
          <w:sz w:val="22"/>
          <w:lang w:val="sv-SE"/>
        </w:rPr>
        <w:t xml:space="preserve"> </w:t>
      </w:r>
    </w:p>
    <w:p w:rsidR="00182378" w:rsidRPr="00B96EF1" w:rsidRDefault="00182378">
      <w:pPr>
        <w:pStyle w:val="Abbott-BodyCopy"/>
        <w:rPr>
          <w:szCs w:val="24"/>
          <w:lang w:val="sv-SE"/>
        </w:rPr>
      </w:pPr>
      <w:r w:rsidRPr="00B96EF1">
        <w:rPr>
          <w:szCs w:val="24"/>
          <w:lang w:val="sv-SE"/>
        </w:rPr>
        <w:t xml:space="preserve">Utöver sitt partnerskap med Enanta Pharmaceuticals om ABT-450 och proteashämmare har Abbott interna program med inriktning på andra virologiska mål. I dagsläget har Abbott försöksläkemedel med tre olika verkningsmekanismer i sina pågående kliniska prövningar, med bland annat proteas-, polymeras- och NS5A-hämmare. Abbott har ett </w:t>
      </w:r>
      <w:r>
        <w:rPr>
          <w:szCs w:val="24"/>
          <w:lang w:val="sv-SE"/>
        </w:rPr>
        <w:t>bra</w:t>
      </w:r>
      <w:r w:rsidRPr="00B96EF1">
        <w:rPr>
          <w:szCs w:val="24"/>
          <w:lang w:val="sv-SE"/>
        </w:rPr>
        <w:t xml:space="preserve"> utgångsläge för att utforska kombinationer av dessa föreningar. Kombinationsstrategin har potential att leda till genomgripande förändringar av nuvarande behandlingspraxis, med kortare behandlingstider, ökad tolerabilitet och större andel patienter som kan botas helt från sin infektion. </w:t>
      </w:r>
    </w:p>
    <w:p w:rsidR="00182378" w:rsidRPr="00B96EF1" w:rsidRDefault="00182378">
      <w:pPr>
        <w:pStyle w:val="Abbott-BodyCopy"/>
        <w:rPr>
          <w:rFonts w:ascii="Times New Roman" w:hAnsi="Times New Roman"/>
          <w:color w:val="000000"/>
          <w:szCs w:val="24"/>
          <w:lang w:val="sv-SE"/>
        </w:rPr>
      </w:pPr>
    </w:p>
    <w:p w:rsidR="00182378" w:rsidRPr="00B96EF1" w:rsidRDefault="00182378">
      <w:pPr>
        <w:pStyle w:val="Abbott-BodyCopy"/>
        <w:rPr>
          <w:noProof/>
          <w:szCs w:val="24"/>
          <w:lang w:val="sv-SE"/>
        </w:rPr>
      </w:pPr>
      <w:r w:rsidRPr="00B96EF1">
        <w:rPr>
          <w:b/>
          <w:noProof/>
          <w:szCs w:val="24"/>
          <w:lang w:val="sv-SE"/>
        </w:rPr>
        <w:t>Om Abbott</w:t>
      </w:r>
    </w:p>
    <w:p w:rsidR="00182378" w:rsidRPr="00B96EF1" w:rsidRDefault="00182378">
      <w:pPr>
        <w:pStyle w:val="Abbott-BodyCopy"/>
        <w:rPr>
          <w:szCs w:val="24"/>
          <w:lang w:val="sv-SE"/>
        </w:rPr>
      </w:pPr>
      <w:r w:rsidRPr="00B96EF1">
        <w:rPr>
          <w:noProof/>
          <w:szCs w:val="24"/>
          <w:lang w:val="sv-SE"/>
        </w:rPr>
        <w:t>Abbott är ett vittomspännande, globalt hälso- och sjukvårdsföretag som forskar, utvecklar, tillverkar och marknadsför läkemedel och medicinska produkter inklusive diagnostik, nutrition och medicinska instrument.</w:t>
      </w:r>
      <w:r w:rsidRPr="00B96EF1">
        <w:rPr>
          <w:szCs w:val="24"/>
          <w:lang w:val="sv-SE"/>
        </w:rPr>
        <w:t xml:space="preserve"> </w:t>
      </w:r>
      <w:r w:rsidRPr="00B96EF1">
        <w:rPr>
          <w:noProof/>
          <w:szCs w:val="24"/>
          <w:lang w:val="sv-SE"/>
        </w:rPr>
        <w:t>Abbott har drygt 91 000 anställda och marknadsför sina produkter i fler än 130 länder.</w:t>
      </w:r>
      <w:r w:rsidRPr="00B96EF1">
        <w:rPr>
          <w:szCs w:val="24"/>
          <w:lang w:val="sv-SE"/>
        </w:rPr>
        <w:t xml:space="preserve"> </w:t>
      </w:r>
      <w:r w:rsidRPr="00B96EF1">
        <w:rPr>
          <w:noProof/>
          <w:szCs w:val="24"/>
          <w:lang w:val="sv-SE"/>
        </w:rPr>
        <w:t>Abbott har sitt svenska huvudkontor i Solna.</w:t>
      </w:r>
    </w:p>
    <w:p w:rsidR="00182378" w:rsidRPr="00B96EF1" w:rsidRDefault="00BF389D">
      <w:pPr>
        <w:pStyle w:val="Abbott-BodyCopy"/>
        <w:rPr>
          <w:i/>
          <w:szCs w:val="24"/>
          <w:lang w:val="sv-SE"/>
        </w:rPr>
      </w:pPr>
      <w:hyperlink r:id="rId11" w:history="1">
        <w:r w:rsidR="00182378" w:rsidRPr="00B96EF1">
          <w:rPr>
            <w:rStyle w:val="Hyperlink"/>
            <w:noProof/>
            <w:szCs w:val="24"/>
            <w:lang w:val="sv-SE"/>
          </w:rPr>
          <w:t>www.abbott.se</w:t>
        </w:r>
      </w:hyperlink>
      <w:r w:rsidR="00182378" w:rsidRPr="00B96EF1">
        <w:rPr>
          <w:noProof/>
          <w:szCs w:val="24"/>
          <w:lang w:val="sv-SE"/>
        </w:rPr>
        <w:t xml:space="preserve"> </w:t>
      </w:r>
      <w:r w:rsidR="00182378" w:rsidRPr="00B96EF1">
        <w:rPr>
          <w:noProof/>
          <w:color w:val="0000FF"/>
          <w:szCs w:val="24"/>
          <w:u w:val="single"/>
          <w:lang w:val="sv-SE"/>
        </w:rPr>
        <w:br/>
      </w:r>
      <w:hyperlink r:id="rId12" w:history="1">
        <w:r w:rsidR="00182378" w:rsidRPr="00B96EF1">
          <w:rPr>
            <w:rStyle w:val="Hyperlink"/>
            <w:noProof/>
            <w:szCs w:val="24"/>
            <w:lang w:val="sv-SE"/>
          </w:rPr>
          <w:t>www.abbott.com</w:t>
        </w:r>
      </w:hyperlink>
    </w:p>
    <w:p w:rsidR="00182378" w:rsidRPr="00B96EF1" w:rsidRDefault="00182378">
      <w:pPr>
        <w:spacing w:line="320" w:lineRule="exact"/>
        <w:ind w:left="2880"/>
        <w:rPr>
          <w:rFonts w:ascii="Arial" w:hAnsi="Arial"/>
          <w:sz w:val="22"/>
          <w:szCs w:val="24"/>
          <w:lang w:val="sv-SE"/>
        </w:rPr>
      </w:pPr>
      <w:r w:rsidRPr="00B96EF1">
        <w:rPr>
          <w:rFonts w:ascii="Arial" w:hAnsi="Arial"/>
          <w:sz w:val="22"/>
          <w:szCs w:val="24"/>
          <w:lang w:val="sv-SE"/>
        </w:rPr>
        <w:t># # #</w:t>
      </w:r>
    </w:p>
    <w:sectPr w:rsidR="00182378" w:rsidRPr="00B96EF1" w:rsidSect="007B5F9B">
      <w:headerReference w:type="default" r:id="rId13"/>
      <w:footerReference w:type="default" r:id="rId14"/>
      <w:headerReference w:type="first" r:id="rId15"/>
      <w:footerReference w:type="first" r:id="rId16"/>
      <w:pgSz w:w="12240" w:h="15840" w:code="1"/>
      <w:pgMar w:top="2160" w:right="1077" w:bottom="1350" w:left="2795" w:footer="1067" w:gutter="0"/>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FF23D9" w:rsidRDefault="00FF23D9">
      <w:pPr>
        <w:rPr>
          <w:szCs w:val="24"/>
        </w:rPr>
      </w:pPr>
      <w:r>
        <w:rPr>
          <w:szCs w:val="24"/>
        </w:rPr>
        <w:separator/>
      </w:r>
    </w:p>
  </w:endnote>
  <w:endnote w:type="continuationSeparator" w:id="1">
    <w:p w:rsidR="00FF23D9" w:rsidRDefault="00FF23D9">
      <w:pPr>
        <w:rPr>
          <w:szCs w:val="24"/>
        </w:rPr>
      </w:pPr>
      <w:r>
        <w:rPr>
          <w:szCs w:val="24"/>
        </w:rP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82378" w:rsidRDefault="009C0786">
    <w:pPr>
      <w:pStyle w:val="Footer"/>
      <w:rPr>
        <w:szCs w:val="24"/>
      </w:rPr>
    </w:pPr>
    <w:r>
      <w:rPr>
        <w:noProof/>
        <w:lang w:eastAsia="en-US"/>
      </w:rPr>
      <w:drawing>
        <wp:anchor distT="0" distB="0" distL="114300" distR="114300" simplePos="0" relativeHeight="251658240" behindDoc="0" locked="1" layoutInCell="1" allowOverlap="1">
          <wp:simplePos x="0" y="0"/>
          <wp:positionH relativeFrom="page">
            <wp:posOffset>6034405</wp:posOffset>
          </wp:positionH>
          <wp:positionV relativeFrom="page">
            <wp:posOffset>9271000</wp:posOffset>
          </wp:positionV>
          <wp:extent cx="1304925" cy="35750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04925" cy="357505"/>
                  </a:xfrm>
                  <a:prstGeom prst="rect">
                    <a:avLst/>
                  </a:prstGeom>
                  <a:noFill/>
                </pic:spPr>
              </pic:pic>
            </a:graphicData>
          </a:graphic>
        </wp:anchor>
      </w:drawing>
    </w: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82378" w:rsidRDefault="009C0786">
    <w:pPr>
      <w:pStyle w:val="Footer"/>
      <w:rPr>
        <w:szCs w:val="24"/>
      </w:rPr>
    </w:pPr>
    <w:r>
      <w:rPr>
        <w:noProof/>
        <w:lang w:eastAsia="en-US"/>
      </w:rPr>
      <w:drawing>
        <wp:anchor distT="0" distB="0" distL="114300" distR="114300" simplePos="0" relativeHeight="251657216" behindDoc="0" locked="1" layoutInCell="1" allowOverlap="1">
          <wp:simplePos x="0" y="0"/>
          <wp:positionH relativeFrom="page">
            <wp:posOffset>6035040</wp:posOffset>
          </wp:positionH>
          <wp:positionV relativeFrom="page">
            <wp:posOffset>9271000</wp:posOffset>
          </wp:positionV>
          <wp:extent cx="1304925" cy="357505"/>
          <wp:effectExtent l="1905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304925" cy="357505"/>
                  </a:xfrm>
                  <a:prstGeom prst="rect">
                    <a:avLst/>
                  </a:prstGeom>
                  <a:noFill/>
                </pic:spPr>
              </pic:pic>
            </a:graphicData>
          </a:graphic>
        </wp:anchor>
      </w:drawing>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FF23D9" w:rsidRDefault="00FF23D9">
      <w:pPr>
        <w:rPr>
          <w:szCs w:val="24"/>
        </w:rPr>
      </w:pPr>
      <w:r>
        <w:rPr>
          <w:szCs w:val="24"/>
        </w:rPr>
        <w:separator/>
      </w:r>
    </w:p>
  </w:footnote>
  <w:footnote w:type="continuationSeparator" w:id="1">
    <w:p w:rsidR="00FF23D9" w:rsidRDefault="00FF23D9">
      <w:pPr>
        <w:rPr>
          <w:szCs w:val="24"/>
        </w:rPr>
      </w:pPr>
      <w:r>
        <w:rPr>
          <w:szCs w:val="24"/>
        </w:rP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82378" w:rsidRDefault="00182378">
    <w:pPr>
      <w:spacing w:after="80"/>
      <w:rPr>
        <w:szCs w:val="24"/>
      </w:rPr>
    </w:pPr>
  </w:p>
  <w:p w:rsidR="00182378" w:rsidRDefault="00182378">
    <w:pPr>
      <w:pStyle w:val="Abbott-Header"/>
      <w:rPr>
        <w:bCs w:val="0"/>
        <w:szCs w:val="24"/>
      </w:rPr>
    </w:pPr>
  </w:p>
  <w:p w:rsidR="00182378" w:rsidRDefault="00182378">
    <w:pPr>
      <w:spacing w:line="360" w:lineRule="auto"/>
      <w:rPr>
        <w:rFonts w:ascii="Arial" w:hAnsi="Arial"/>
        <w:szCs w:val="24"/>
      </w:rPr>
    </w:pPr>
    <w:r>
      <w:rPr>
        <w:rFonts w:ascii="Arial" w:hAnsi="Arial"/>
        <w:b/>
        <w:noProof/>
        <w:szCs w:val="24"/>
      </w:rPr>
      <w:t xml:space="preserve">Sid </w:t>
    </w:r>
    <w:fldSimple w:instr=" PAGE   \* MERGEFORMAT ">
      <w:r w:rsidR="00BB43FB">
        <w:rPr>
          <w:rFonts w:ascii="Arial" w:hAnsi="Arial"/>
          <w:b/>
          <w:noProof/>
          <w:szCs w:val="24"/>
        </w:rPr>
        <w:t>2</w:t>
      </w:r>
    </w:fldSimple>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82378" w:rsidRDefault="009C0786">
    <w:pPr>
      <w:rPr>
        <w:rFonts w:ascii="Arial" w:hAnsi="Arial"/>
        <w:b/>
        <w:color w:val="1D7CAC"/>
        <w:sz w:val="36"/>
        <w:szCs w:val="24"/>
      </w:rPr>
    </w:pPr>
    <w:r>
      <w:rPr>
        <w:noProof/>
        <w:lang w:eastAsia="en-US"/>
      </w:rPr>
      <w:drawing>
        <wp:anchor distT="0" distB="0" distL="114300" distR="114300" simplePos="0" relativeHeight="251656192" behindDoc="1" locked="0" layoutInCell="1" allowOverlap="1">
          <wp:simplePos x="0" y="0"/>
          <wp:positionH relativeFrom="column">
            <wp:posOffset>-1485900</wp:posOffset>
          </wp:positionH>
          <wp:positionV relativeFrom="paragraph">
            <wp:posOffset>194310</wp:posOffset>
          </wp:positionV>
          <wp:extent cx="4682490" cy="1024890"/>
          <wp:effectExtent l="1905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682490" cy="1024890"/>
                  </a:xfrm>
                  <a:prstGeom prst="rect">
                    <a:avLst/>
                  </a:prstGeom>
                  <a:noFill/>
                </pic:spPr>
              </pic:pic>
            </a:graphicData>
          </a:graphic>
        </wp:anchor>
      </w:drawing>
    </w:r>
  </w:p>
  <w:p w:rsidR="00182378" w:rsidRDefault="00BF389D">
    <w:pPr>
      <w:rPr>
        <w:szCs w:val="24"/>
      </w:rPr>
    </w:pPr>
    <w:r w:rsidRPr="00BF389D">
      <w:rPr>
        <w:noProof/>
        <w:lang w:val="sv-SE"/>
      </w:rPr>
      <w:pict>
        <v:shapetype id="_x0000_t202" coordsize="21600,21600" o:spt="202" path="m0,0l0,21600,21600,21600,21600,0xe">
          <v:stroke joinstyle="miter"/>
          <v:path gradientshapeok="t" o:connecttype="rect"/>
        </v:shapetype>
        <v:shape id="_x0000_s2051" type="#_x0000_t202" style="position:absolute;margin-left:22.5pt;margin-top:252pt;width:99pt;height:261pt;z-index:-251656192;mso-position-horizontal:absolute;mso-position-horizontal-relative:page;mso-position-vertical:absolute;mso-position-vertical-relative:page" wrapcoords="-129 0 -129 21538 21600 21538 21600 0 -129 0" stroked="f">
          <v:textbox style="mso-next-textbox:#_x0000_s2051">
            <w:txbxContent>
              <w:p w:rsidR="00182378" w:rsidRDefault="00182378">
                <w:pPr>
                  <w:pStyle w:val="Abbott-Contact"/>
                  <w:rPr>
                    <w:szCs w:val="24"/>
                    <w:lang w:val="sv-SE"/>
                  </w:rPr>
                </w:pPr>
                <w:r>
                  <w:rPr>
                    <w:noProof/>
                    <w:szCs w:val="24"/>
                    <w:lang w:val="sv-SE"/>
                  </w:rPr>
                  <w:t>Kontaktinformation</w:t>
                </w:r>
              </w:p>
              <w:p w:rsidR="00E71DA2" w:rsidRDefault="00E71DA2">
                <w:pPr>
                  <w:pStyle w:val="Abbott-Contact"/>
                  <w:rPr>
                    <w:szCs w:val="24"/>
                    <w:lang w:val="sv-SE"/>
                  </w:rPr>
                </w:pPr>
              </w:p>
              <w:p w:rsidR="00DD14C4" w:rsidRDefault="00AB2951">
                <w:pPr>
                  <w:pStyle w:val="Abbott-Contact"/>
                  <w:rPr>
                    <w:szCs w:val="24"/>
                    <w:lang w:val="sv-SE"/>
                  </w:rPr>
                </w:pPr>
                <w:r>
                  <w:rPr>
                    <w:szCs w:val="24"/>
                    <w:lang w:val="sv-SE"/>
                  </w:rPr>
                  <w:t>Medicinsk direktör</w:t>
                </w:r>
              </w:p>
              <w:p w:rsidR="00DD14C4" w:rsidRPr="00DD14C4" w:rsidRDefault="00AB2951">
                <w:pPr>
                  <w:pStyle w:val="Abbott-Contact"/>
                  <w:rPr>
                    <w:b/>
                    <w:szCs w:val="24"/>
                    <w:lang w:val="sv-SE"/>
                  </w:rPr>
                </w:pPr>
                <w:r>
                  <w:rPr>
                    <w:b/>
                    <w:szCs w:val="24"/>
                    <w:lang w:val="sv-SE"/>
                  </w:rPr>
                  <w:t>Lars Thomander</w:t>
                </w:r>
              </w:p>
              <w:p w:rsidR="00AB2951" w:rsidRPr="00A516BE" w:rsidRDefault="00E71DA2" w:rsidP="00AB2951">
                <w:pPr>
                  <w:rPr>
                    <w:rFonts w:ascii="Arial" w:hAnsi="Arial"/>
                    <w:sz w:val="18"/>
                    <w:szCs w:val="24"/>
                    <w:lang w:val="sv-SE"/>
                  </w:rPr>
                </w:pPr>
                <w:r>
                  <w:rPr>
                    <w:rFonts w:ascii="Arial" w:hAnsi="Arial"/>
                    <w:sz w:val="18"/>
                    <w:szCs w:val="24"/>
                    <w:lang w:val="sv-SE"/>
                  </w:rPr>
                  <w:t xml:space="preserve">Tel. </w:t>
                </w:r>
                <w:r w:rsidR="00DD14C4" w:rsidRPr="00E71DA2">
                  <w:rPr>
                    <w:rFonts w:ascii="Arial" w:hAnsi="Arial"/>
                    <w:sz w:val="18"/>
                    <w:szCs w:val="24"/>
                    <w:lang w:val="sv-SE"/>
                  </w:rPr>
                  <w:t>08-</w:t>
                </w:r>
                <w:r w:rsidR="00AB2951">
                  <w:rPr>
                    <w:rFonts w:ascii="Arial" w:hAnsi="Arial"/>
                    <w:sz w:val="18"/>
                    <w:szCs w:val="24"/>
                    <w:lang w:val="sv-SE"/>
                  </w:rPr>
                  <w:t>546 </w:t>
                </w:r>
                <w:r w:rsidR="00AB2951" w:rsidRPr="00A516BE">
                  <w:rPr>
                    <w:rFonts w:ascii="Arial" w:hAnsi="Arial"/>
                    <w:sz w:val="18"/>
                    <w:szCs w:val="24"/>
                    <w:lang w:val="sv-SE"/>
                  </w:rPr>
                  <w:t>567 86</w:t>
                </w:r>
              </w:p>
              <w:p w:rsidR="00182378" w:rsidRPr="00E71DA2" w:rsidRDefault="00182378" w:rsidP="00E71DA2">
                <w:pPr>
                  <w:rPr>
                    <w:rFonts w:ascii="Arial" w:hAnsi="Arial"/>
                    <w:sz w:val="18"/>
                    <w:szCs w:val="24"/>
                    <w:lang w:val="sv-SE"/>
                  </w:rPr>
                </w:pPr>
              </w:p>
              <w:p w:rsidR="00DD14C4" w:rsidRDefault="00DD14C4">
                <w:pPr>
                  <w:pStyle w:val="Abbott-Contact"/>
                  <w:rPr>
                    <w:szCs w:val="24"/>
                    <w:lang w:val="sv-SE"/>
                  </w:rPr>
                </w:pPr>
              </w:p>
              <w:p w:rsidR="00182378" w:rsidRDefault="00182378">
                <w:pPr>
                  <w:pStyle w:val="Abbott-Contact"/>
                  <w:rPr>
                    <w:szCs w:val="24"/>
                    <w:lang w:val="sv-SE"/>
                  </w:rPr>
                </w:pPr>
                <w:r>
                  <w:rPr>
                    <w:noProof/>
                    <w:szCs w:val="24"/>
                    <w:lang w:val="sv-SE"/>
                  </w:rPr>
                  <w:t xml:space="preserve">Kommunikationschef </w:t>
                </w:r>
              </w:p>
              <w:p w:rsidR="00182378" w:rsidRDefault="00182378">
                <w:pPr>
                  <w:pStyle w:val="Abbott-Contact"/>
                  <w:rPr>
                    <w:b/>
                    <w:szCs w:val="24"/>
                    <w:lang w:val="sv-SE"/>
                  </w:rPr>
                </w:pPr>
                <w:r>
                  <w:rPr>
                    <w:b/>
                    <w:noProof/>
                    <w:szCs w:val="24"/>
                    <w:lang w:val="sv-SE"/>
                  </w:rPr>
                  <w:t>Andrea Prander</w:t>
                </w:r>
              </w:p>
              <w:p w:rsidR="00182378" w:rsidRDefault="00E71DA2">
                <w:pPr>
                  <w:pStyle w:val="Abbott-Contact"/>
                  <w:rPr>
                    <w:szCs w:val="24"/>
                    <w:lang w:val="sv-SE"/>
                  </w:rPr>
                </w:pPr>
                <w:r>
                  <w:rPr>
                    <w:szCs w:val="24"/>
                    <w:lang w:val="sv-SE"/>
                  </w:rPr>
                  <w:t>Tel. 08-</w:t>
                </w:r>
                <w:r w:rsidR="00182378">
                  <w:rPr>
                    <w:szCs w:val="24"/>
                    <w:lang w:val="sv-SE"/>
                  </w:rPr>
                  <w:t>546 567 08</w:t>
                </w:r>
              </w:p>
              <w:p w:rsidR="00182378" w:rsidRDefault="00182378">
                <w:pPr>
                  <w:pStyle w:val="Abbott-Contact"/>
                  <w:rPr>
                    <w:szCs w:val="24"/>
                    <w:lang w:val="sv-SE"/>
                  </w:rPr>
                </w:pPr>
              </w:p>
            </w:txbxContent>
          </v:textbox>
          <w10:wrap type="tight" anchorx="page" anchory="page"/>
        </v:shape>
      </w:pic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8BB2117"/>
    <w:multiLevelType w:val="hybridMultilevel"/>
    <w:tmpl w:val="2E0E42F2"/>
    <w:lvl w:ilvl="0" w:tplc="FFFFFFFF">
      <w:start w:val="1"/>
      <w:numFmt w:val="bullet"/>
      <w:pStyle w:val="Abbott-Bullets"/>
      <w:lvlText w:val="•"/>
      <w:lvlJc w:val="left"/>
      <w:pPr>
        <w:tabs>
          <w:tab w:val="num" w:pos="360"/>
        </w:tabs>
        <w:ind w:left="360" w:hanging="360"/>
      </w:pPr>
      <w:rPr>
        <w:rFonts w:ascii="Arial" w:hAnsi="Aria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25D7F0F"/>
    <w:multiLevelType w:val="hybridMultilevel"/>
    <w:tmpl w:val="62E8FD96"/>
    <w:lvl w:ilvl="0" w:tplc="FFFFFFFF">
      <w:start w:val="1"/>
      <w:numFmt w:val="bullet"/>
      <w:lvlText w:val=""/>
      <w:lvlJc w:val="left"/>
      <w:pPr>
        <w:tabs>
          <w:tab w:val="num" w:pos="360"/>
        </w:tabs>
        <w:ind w:left="360" w:hanging="360"/>
      </w:pPr>
      <w:rPr>
        <w:rFonts w:ascii="Symbol" w:hAnsi="Symbol" w:hint="default"/>
        <w:color w:val="auto"/>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DED16F4"/>
    <w:multiLevelType w:val="hybridMultilevel"/>
    <w:tmpl w:val="7D54A666"/>
    <w:lvl w:ilvl="0" w:tplc="FFFFFFFF">
      <w:start w:val="1"/>
      <w:numFmt w:val="bullet"/>
      <w:lvlText w:val=""/>
      <w:lvlJc w:val="left"/>
      <w:pPr>
        <w:tabs>
          <w:tab w:val="num" w:pos="1391"/>
        </w:tabs>
        <w:ind w:left="1391" w:hanging="360"/>
      </w:pPr>
      <w:rPr>
        <w:rFonts w:ascii="Wingdings" w:hAnsi="Wingdings"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6837696"/>
    <w:multiLevelType w:val="hybridMultilevel"/>
    <w:tmpl w:val="8A2072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BAC0FB7"/>
    <w:multiLevelType w:val="hybridMultilevel"/>
    <w:tmpl w:val="17F2263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ABB2249"/>
    <w:multiLevelType w:val="hybridMultilevel"/>
    <w:tmpl w:val="F79837C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stylePaneFormatFilter w:val="3701"/>
  <w:doNotTrackMoves/>
  <w:defaultTabStop w:val="720"/>
  <w:hyphenationZone w:val="425"/>
  <w:noPunctuationKerning/>
  <w:characterSpacingControl w:val="doNotCompress"/>
  <w:hdrShapeDefaults>
    <o:shapedefaults v:ext="edit" spidmax="2055"/>
    <o:shapelayout v:ext="edit">
      <o:idmap v:ext="edit" data="2"/>
    </o:shapelayout>
  </w:hdrShapeDefaults>
  <w:footnotePr>
    <w:footnote w:id="0"/>
    <w:footnote w:id="1"/>
  </w:footnotePr>
  <w:endnotePr>
    <w:endnote w:id="0"/>
    <w:endnote w:id="1"/>
  </w:endnotePr>
  <w:compat/>
  <w:rsids>
    <w:rsidRoot w:val="00A805F5"/>
    <w:rsid w:val="00020ABF"/>
    <w:rsid w:val="0003466F"/>
    <w:rsid w:val="00043CD4"/>
    <w:rsid w:val="0008129F"/>
    <w:rsid w:val="00083DF5"/>
    <w:rsid w:val="00093113"/>
    <w:rsid w:val="000B5C4B"/>
    <w:rsid w:val="000B6310"/>
    <w:rsid w:val="000C2C4B"/>
    <w:rsid w:val="000D1447"/>
    <w:rsid w:val="000D539E"/>
    <w:rsid w:val="00123342"/>
    <w:rsid w:val="001747ED"/>
    <w:rsid w:val="00182378"/>
    <w:rsid w:val="001839F6"/>
    <w:rsid w:val="001848FE"/>
    <w:rsid w:val="001A2328"/>
    <w:rsid w:val="001B2D84"/>
    <w:rsid w:val="001D4A52"/>
    <w:rsid w:val="001E34D9"/>
    <w:rsid w:val="00203AED"/>
    <w:rsid w:val="0020700A"/>
    <w:rsid w:val="00207EFA"/>
    <w:rsid w:val="002359A9"/>
    <w:rsid w:val="00237B55"/>
    <w:rsid w:val="00241DE5"/>
    <w:rsid w:val="00251CBB"/>
    <w:rsid w:val="00267A01"/>
    <w:rsid w:val="00271844"/>
    <w:rsid w:val="002854BA"/>
    <w:rsid w:val="00293D3D"/>
    <w:rsid w:val="002C07C2"/>
    <w:rsid w:val="002D59C5"/>
    <w:rsid w:val="00327B0C"/>
    <w:rsid w:val="00331729"/>
    <w:rsid w:val="00351C1F"/>
    <w:rsid w:val="00393D40"/>
    <w:rsid w:val="003B0263"/>
    <w:rsid w:val="003D5EBE"/>
    <w:rsid w:val="003F1D6F"/>
    <w:rsid w:val="0043519B"/>
    <w:rsid w:val="00476BB9"/>
    <w:rsid w:val="00493111"/>
    <w:rsid w:val="004968D6"/>
    <w:rsid w:val="004D189F"/>
    <w:rsid w:val="00550315"/>
    <w:rsid w:val="00554F69"/>
    <w:rsid w:val="0055617D"/>
    <w:rsid w:val="00583322"/>
    <w:rsid w:val="005A3487"/>
    <w:rsid w:val="005C3CF8"/>
    <w:rsid w:val="005C7239"/>
    <w:rsid w:val="005E2937"/>
    <w:rsid w:val="00621CA7"/>
    <w:rsid w:val="00631FCA"/>
    <w:rsid w:val="0066374D"/>
    <w:rsid w:val="00666029"/>
    <w:rsid w:val="006A03F3"/>
    <w:rsid w:val="006A7D59"/>
    <w:rsid w:val="006C4AA3"/>
    <w:rsid w:val="006F567E"/>
    <w:rsid w:val="00703B8E"/>
    <w:rsid w:val="00706BBA"/>
    <w:rsid w:val="007074F6"/>
    <w:rsid w:val="007128AF"/>
    <w:rsid w:val="00765E26"/>
    <w:rsid w:val="007830F3"/>
    <w:rsid w:val="007B5F9B"/>
    <w:rsid w:val="007D4DF8"/>
    <w:rsid w:val="007E1426"/>
    <w:rsid w:val="008011AD"/>
    <w:rsid w:val="00825F2C"/>
    <w:rsid w:val="0083138F"/>
    <w:rsid w:val="00833739"/>
    <w:rsid w:val="00835330"/>
    <w:rsid w:val="0085032B"/>
    <w:rsid w:val="0085696E"/>
    <w:rsid w:val="008713D4"/>
    <w:rsid w:val="008A5B83"/>
    <w:rsid w:val="008C110D"/>
    <w:rsid w:val="00931F62"/>
    <w:rsid w:val="00945E97"/>
    <w:rsid w:val="00976EFF"/>
    <w:rsid w:val="009841DB"/>
    <w:rsid w:val="009858C5"/>
    <w:rsid w:val="00991FF2"/>
    <w:rsid w:val="00992215"/>
    <w:rsid w:val="009A0229"/>
    <w:rsid w:val="009C0786"/>
    <w:rsid w:val="009D06CC"/>
    <w:rsid w:val="009E3721"/>
    <w:rsid w:val="009F1949"/>
    <w:rsid w:val="00A00365"/>
    <w:rsid w:val="00A11BDA"/>
    <w:rsid w:val="00A25480"/>
    <w:rsid w:val="00A31C40"/>
    <w:rsid w:val="00A352A7"/>
    <w:rsid w:val="00A405E0"/>
    <w:rsid w:val="00A42A06"/>
    <w:rsid w:val="00A516BE"/>
    <w:rsid w:val="00A5348A"/>
    <w:rsid w:val="00A75BFB"/>
    <w:rsid w:val="00A805F5"/>
    <w:rsid w:val="00AA6CEF"/>
    <w:rsid w:val="00AB2951"/>
    <w:rsid w:val="00AC2663"/>
    <w:rsid w:val="00B06084"/>
    <w:rsid w:val="00B55111"/>
    <w:rsid w:val="00B56D31"/>
    <w:rsid w:val="00B96EF1"/>
    <w:rsid w:val="00BB43FB"/>
    <w:rsid w:val="00BB4C2E"/>
    <w:rsid w:val="00BD155A"/>
    <w:rsid w:val="00BE2F18"/>
    <w:rsid w:val="00BE59C5"/>
    <w:rsid w:val="00BF0FC6"/>
    <w:rsid w:val="00BF389D"/>
    <w:rsid w:val="00BF66DC"/>
    <w:rsid w:val="00C15F9A"/>
    <w:rsid w:val="00C2028B"/>
    <w:rsid w:val="00C35705"/>
    <w:rsid w:val="00C4382E"/>
    <w:rsid w:val="00CA0B59"/>
    <w:rsid w:val="00CF11A7"/>
    <w:rsid w:val="00D01516"/>
    <w:rsid w:val="00D1019F"/>
    <w:rsid w:val="00D1051F"/>
    <w:rsid w:val="00D16F7B"/>
    <w:rsid w:val="00D7166B"/>
    <w:rsid w:val="00D73D7B"/>
    <w:rsid w:val="00DA4E5C"/>
    <w:rsid w:val="00DB03B1"/>
    <w:rsid w:val="00DD14C4"/>
    <w:rsid w:val="00E11A09"/>
    <w:rsid w:val="00E17D04"/>
    <w:rsid w:val="00E21731"/>
    <w:rsid w:val="00E379F8"/>
    <w:rsid w:val="00E43B8B"/>
    <w:rsid w:val="00E61290"/>
    <w:rsid w:val="00E618E7"/>
    <w:rsid w:val="00E71DA2"/>
    <w:rsid w:val="00E900F8"/>
    <w:rsid w:val="00E949F8"/>
    <w:rsid w:val="00EC79F8"/>
    <w:rsid w:val="00EE1F40"/>
    <w:rsid w:val="00F011DF"/>
    <w:rsid w:val="00F16C43"/>
    <w:rsid w:val="00F260AD"/>
    <w:rsid w:val="00F27017"/>
    <w:rsid w:val="00F30126"/>
    <w:rsid w:val="00F32D1E"/>
    <w:rsid w:val="00F3412C"/>
    <w:rsid w:val="00F53A64"/>
    <w:rsid w:val="00F56849"/>
    <w:rsid w:val="00F81A73"/>
    <w:rsid w:val="00FA06AC"/>
    <w:rsid w:val="00FB3B46"/>
    <w:rsid w:val="00FC0E66"/>
    <w:rsid w:val="00FC6357"/>
    <w:rsid w:val="00FD16DE"/>
    <w:rsid w:val="00FD29A3"/>
    <w:rsid w:val="00FF23D9"/>
  </w:rsids>
  <m:mathPr>
    <m:mathFont m:val="Arial Black"/>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F9B"/>
    <w:rPr>
      <w:rFonts w:ascii="Times" w:hAnsi="Times"/>
      <w:sz w:val="24"/>
      <w:szCs w:val="20"/>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7B5F9B"/>
    <w:pPr>
      <w:tabs>
        <w:tab w:val="center" w:pos="4320"/>
        <w:tab w:val="right" w:pos="8640"/>
      </w:tabs>
    </w:pPr>
  </w:style>
  <w:style w:type="character" w:customStyle="1" w:styleId="HeaderChar">
    <w:name w:val="Header Char"/>
    <w:basedOn w:val="DefaultParagraphFont"/>
    <w:link w:val="Header"/>
    <w:uiPriority w:val="99"/>
    <w:locked/>
    <w:rsid w:val="007B5F9B"/>
    <w:rPr>
      <w:rFonts w:ascii="Times" w:hAnsi="Times" w:cs="Times New Roman"/>
      <w:sz w:val="24"/>
      <w:lang w:val="en-US"/>
    </w:rPr>
  </w:style>
  <w:style w:type="paragraph" w:styleId="Footer">
    <w:name w:val="footer"/>
    <w:basedOn w:val="Normal"/>
    <w:link w:val="FooterChar"/>
    <w:uiPriority w:val="99"/>
    <w:rsid w:val="007B5F9B"/>
    <w:pPr>
      <w:tabs>
        <w:tab w:val="center" w:pos="4320"/>
        <w:tab w:val="right" w:pos="8640"/>
      </w:tabs>
    </w:pPr>
  </w:style>
  <w:style w:type="character" w:customStyle="1" w:styleId="FooterChar">
    <w:name w:val="Footer Char"/>
    <w:basedOn w:val="DefaultParagraphFont"/>
    <w:link w:val="Footer"/>
    <w:uiPriority w:val="99"/>
    <w:semiHidden/>
    <w:locked/>
    <w:rsid w:val="007B5F9B"/>
    <w:rPr>
      <w:rFonts w:ascii="Times" w:hAnsi="Times" w:cs="Times New Roman"/>
      <w:snapToGrid w:val="0"/>
      <w:sz w:val="24"/>
      <w:lang w:val="en-US"/>
    </w:rPr>
  </w:style>
  <w:style w:type="paragraph" w:customStyle="1" w:styleId="Abbott-BodyCopy">
    <w:name w:val="Abbott-Body Copy"/>
    <w:basedOn w:val="Header"/>
    <w:link w:val="FootnoteTextChar"/>
    <w:uiPriority w:val="99"/>
    <w:rsid w:val="007B5F9B"/>
    <w:pPr>
      <w:tabs>
        <w:tab w:val="clear" w:pos="4320"/>
        <w:tab w:val="clear" w:pos="8640"/>
      </w:tabs>
      <w:spacing w:line="320" w:lineRule="exact"/>
    </w:pPr>
    <w:rPr>
      <w:rFonts w:ascii="Arial" w:hAnsi="Arial"/>
      <w:sz w:val="22"/>
    </w:rPr>
  </w:style>
  <w:style w:type="paragraph" w:customStyle="1" w:styleId="Abbott-Title">
    <w:name w:val="Abbott-Title"/>
    <w:basedOn w:val="Normal"/>
    <w:uiPriority w:val="99"/>
    <w:rsid w:val="007B5F9B"/>
    <w:pPr>
      <w:spacing w:before="720" w:after="120"/>
    </w:pPr>
    <w:rPr>
      <w:rFonts w:ascii="Arial" w:hAnsi="Arial"/>
      <w:sz w:val="32"/>
    </w:rPr>
  </w:style>
  <w:style w:type="paragraph" w:customStyle="1" w:styleId="Abbott-Subtitle">
    <w:name w:val="Abbott-Subtitle"/>
    <w:basedOn w:val="Header"/>
    <w:uiPriority w:val="99"/>
    <w:rsid w:val="007B5F9B"/>
    <w:pPr>
      <w:spacing w:line="260" w:lineRule="exact"/>
    </w:pPr>
    <w:rPr>
      <w:rFonts w:ascii="Arial" w:hAnsi="Arial"/>
      <w:i/>
      <w:sz w:val="22"/>
    </w:rPr>
  </w:style>
  <w:style w:type="paragraph" w:customStyle="1" w:styleId="Abbott-Footer">
    <w:name w:val="Abbott-Footer"/>
    <w:basedOn w:val="Footer"/>
    <w:link w:val="BodyTextChar"/>
    <w:uiPriority w:val="99"/>
    <w:rsid w:val="007B5F9B"/>
    <w:pPr>
      <w:spacing w:line="200" w:lineRule="exact"/>
      <w:jc w:val="center"/>
    </w:pPr>
    <w:rPr>
      <w:rFonts w:ascii="Arial" w:hAnsi="Arial"/>
      <w:noProof/>
      <w:sz w:val="20"/>
      <w:lang w:val="sv-SE"/>
    </w:rPr>
  </w:style>
  <w:style w:type="paragraph" w:customStyle="1" w:styleId="Abbott-Bullets">
    <w:name w:val="Abbott-Bullets"/>
    <w:basedOn w:val="Abbott-BodyCopy"/>
    <w:uiPriority w:val="99"/>
    <w:rsid w:val="007B5F9B"/>
    <w:pPr>
      <w:numPr>
        <w:numId w:val="1"/>
      </w:numPr>
    </w:pPr>
  </w:style>
  <w:style w:type="paragraph" w:customStyle="1" w:styleId="Topic">
    <w:name w:val="Topic"/>
    <w:basedOn w:val="Normal"/>
    <w:next w:val="Normal"/>
    <w:uiPriority w:val="99"/>
    <w:rsid w:val="007B5F9B"/>
    <w:pPr>
      <w:keepLines/>
      <w:overflowPunct w:val="0"/>
      <w:autoSpaceDE w:val="0"/>
      <w:autoSpaceDN w:val="0"/>
      <w:adjustRightInd w:val="0"/>
      <w:spacing w:before="240" w:after="240" w:line="360" w:lineRule="auto"/>
      <w:textAlignment w:val="baseline"/>
    </w:pPr>
    <w:rPr>
      <w:rFonts w:ascii="Times New Roman" w:hAnsi="Times New Roman"/>
      <w:b/>
      <w:bCs/>
      <w:sz w:val="26"/>
    </w:rPr>
  </w:style>
  <w:style w:type="paragraph" w:customStyle="1" w:styleId="Abbott-Header">
    <w:name w:val="Abbott-Header"/>
    <w:uiPriority w:val="99"/>
    <w:rsid w:val="007B5F9B"/>
    <w:rPr>
      <w:rFonts w:ascii="Arial" w:hAnsi="Arial"/>
      <w:b/>
      <w:bCs/>
      <w:sz w:val="24"/>
      <w:szCs w:val="20"/>
      <w:lang w:val="en-US"/>
    </w:rPr>
  </w:style>
  <w:style w:type="character" w:styleId="CommentReference">
    <w:name w:val="annotation reference"/>
    <w:basedOn w:val="DefaultParagraphFont"/>
    <w:uiPriority w:val="99"/>
    <w:semiHidden/>
    <w:rsid w:val="007B5F9B"/>
    <w:rPr>
      <w:rFonts w:cs="Times New Roman"/>
      <w:sz w:val="16"/>
    </w:rPr>
  </w:style>
  <w:style w:type="paragraph" w:styleId="CommentText">
    <w:name w:val="annotation text"/>
    <w:basedOn w:val="Normal"/>
    <w:link w:val="CommentTextChar"/>
    <w:uiPriority w:val="99"/>
    <w:semiHidden/>
    <w:rsid w:val="007B5F9B"/>
    <w:rPr>
      <w:sz w:val="20"/>
    </w:rPr>
  </w:style>
  <w:style w:type="character" w:customStyle="1" w:styleId="CommentTextChar">
    <w:name w:val="Comment Text Char"/>
    <w:basedOn w:val="DefaultParagraphFont"/>
    <w:link w:val="CommentText"/>
    <w:uiPriority w:val="99"/>
    <w:semiHidden/>
    <w:locked/>
    <w:rsid w:val="007B5F9B"/>
    <w:rPr>
      <w:rFonts w:ascii="Times" w:hAnsi="Times" w:cs="Times New Roman"/>
      <w:snapToGrid w:val="0"/>
      <w:sz w:val="24"/>
      <w:lang w:val="en-US"/>
    </w:rPr>
  </w:style>
  <w:style w:type="character" w:customStyle="1" w:styleId="Abbott-BodyCopyChar">
    <w:name w:val="Abbott-Body Copy Char"/>
    <w:uiPriority w:val="99"/>
    <w:rsid w:val="007B5F9B"/>
    <w:rPr>
      <w:rFonts w:ascii="Arial" w:hAnsi="Arial"/>
      <w:sz w:val="22"/>
      <w:lang w:val="en-US"/>
    </w:rPr>
  </w:style>
  <w:style w:type="paragraph" w:customStyle="1" w:styleId="Abbott-Contact">
    <w:name w:val="Abbott-Contact"/>
    <w:uiPriority w:val="99"/>
    <w:rsid w:val="007B5F9B"/>
    <w:pPr>
      <w:spacing w:line="220" w:lineRule="exact"/>
    </w:pPr>
    <w:rPr>
      <w:rFonts w:ascii="Arial" w:hAnsi="Arial"/>
      <w:sz w:val="18"/>
      <w:szCs w:val="20"/>
      <w:lang w:val="en-US"/>
    </w:rPr>
  </w:style>
  <w:style w:type="paragraph" w:styleId="BodyTextIndent">
    <w:name w:val="Body Text Indent"/>
    <w:basedOn w:val="Normal"/>
    <w:link w:val="BodyTextIndentChar"/>
    <w:uiPriority w:val="99"/>
    <w:rsid w:val="007B5F9B"/>
    <w:pPr>
      <w:overflowPunct w:val="0"/>
      <w:autoSpaceDE w:val="0"/>
      <w:autoSpaceDN w:val="0"/>
      <w:adjustRightInd w:val="0"/>
      <w:spacing w:line="360" w:lineRule="auto"/>
      <w:ind w:firstLine="432"/>
      <w:textAlignment w:val="baseline"/>
    </w:pPr>
    <w:rPr>
      <w:rFonts w:ascii="Times New Roman" w:hAnsi="Times New Roman"/>
      <w:color w:val="000000"/>
      <w:sz w:val="26"/>
      <w:szCs w:val="26"/>
    </w:rPr>
  </w:style>
  <w:style w:type="character" w:customStyle="1" w:styleId="BodyTextIndentChar">
    <w:name w:val="Body Text Indent Char"/>
    <w:basedOn w:val="DefaultParagraphFont"/>
    <w:link w:val="BodyTextIndent"/>
    <w:uiPriority w:val="99"/>
    <w:semiHidden/>
    <w:locked/>
    <w:rsid w:val="007B5F9B"/>
    <w:rPr>
      <w:rFonts w:ascii="Times" w:hAnsi="Times" w:cs="Times New Roman"/>
      <w:snapToGrid w:val="0"/>
      <w:sz w:val="24"/>
      <w:lang w:val="en-US"/>
    </w:rPr>
  </w:style>
  <w:style w:type="paragraph" w:styleId="DocumentMap">
    <w:name w:val="Document Map"/>
    <w:basedOn w:val="Normal"/>
    <w:link w:val="DocumentMapChar"/>
    <w:uiPriority w:val="99"/>
    <w:semiHidden/>
    <w:rsid w:val="007B5F9B"/>
    <w:pPr>
      <w:shd w:val="clear" w:color="auto" w:fill="000080"/>
    </w:pPr>
    <w:rPr>
      <w:rFonts w:ascii="Times New Roman" w:hAnsi="Times New Roman"/>
      <w:sz w:val="20"/>
    </w:rPr>
  </w:style>
  <w:style w:type="character" w:customStyle="1" w:styleId="DocumentMapChar">
    <w:name w:val="Document Map Char"/>
    <w:basedOn w:val="DefaultParagraphFont"/>
    <w:link w:val="DocumentMap"/>
    <w:uiPriority w:val="99"/>
    <w:semiHidden/>
    <w:locked/>
    <w:rsid w:val="007B5F9B"/>
    <w:rPr>
      <w:rFonts w:ascii="Times New Roman" w:hAnsi="Times New Roman" w:cs="Times New Roman"/>
      <w:snapToGrid w:val="0"/>
      <w:sz w:val="16"/>
      <w:szCs w:val="16"/>
      <w:lang w:val="en-US"/>
    </w:rPr>
  </w:style>
  <w:style w:type="paragraph" w:styleId="CommentSubject">
    <w:name w:val="annotation subject"/>
    <w:basedOn w:val="CommentText"/>
    <w:next w:val="CommentText"/>
    <w:link w:val="CommentSubjectChar1"/>
    <w:uiPriority w:val="99"/>
    <w:semiHidden/>
    <w:rsid w:val="007B5F9B"/>
    <w:rPr>
      <w:b/>
      <w:bCs/>
    </w:rPr>
  </w:style>
  <w:style w:type="character" w:customStyle="1" w:styleId="CommentSubjectChar">
    <w:name w:val="Comment Subject Char"/>
    <w:basedOn w:val="CommentTextChar"/>
    <w:link w:val="CommentSubject"/>
    <w:uiPriority w:val="99"/>
    <w:semiHidden/>
    <w:locked/>
    <w:rsid w:val="000B5C4B"/>
    <w:rPr>
      <w:b/>
      <w:bCs/>
      <w:sz w:val="20"/>
      <w:szCs w:val="20"/>
    </w:rPr>
  </w:style>
  <w:style w:type="character" w:customStyle="1" w:styleId="CommentSubjectChar1">
    <w:name w:val="Comment Subject Char1"/>
    <w:basedOn w:val="Abbott-BodyCopyChar"/>
    <w:link w:val="CommentSubject"/>
    <w:uiPriority w:val="99"/>
    <w:semiHidden/>
    <w:locked/>
    <w:rsid w:val="007B5F9B"/>
    <w:rPr>
      <w:rFonts w:ascii="Times" w:hAnsi="Times" w:cs="Times New Roman"/>
      <w:b/>
      <w:bCs/>
      <w:snapToGrid w:val="0"/>
    </w:rPr>
  </w:style>
  <w:style w:type="paragraph" w:styleId="BalloonText">
    <w:name w:val="Balloon Text"/>
    <w:basedOn w:val="Normal"/>
    <w:link w:val="BalloonTextChar"/>
    <w:uiPriority w:val="99"/>
    <w:semiHidden/>
    <w:rsid w:val="007B5F9B"/>
    <w:rPr>
      <w:rFonts w:ascii="Times New Roman" w:hAnsi="Times New Roman"/>
      <w:sz w:val="16"/>
      <w:szCs w:val="16"/>
    </w:rPr>
  </w:style>
  <w:style w:type="character" w:customStyle="1" w:styleId="BalloonTextChar">
    <w:name w:val="Balloon Text Char"/>
    <w:basedOn w:val="DefaultParagraphFont"/>
    <w:link w:val="BalloonText"/>
    <w:uiPriority w:val="99"/>
    <w:semiHidden/>
    <w:locked/>
    <w:rsid w:val="007B5F9B"/>
    <w:rPr>
      <w:rFonts w:ascii="Times New Roman" w:hAnsi="Times New Roman" w:cs="Times New Roman"/>
      <w:snapToGrid w:val="0"/>
      <w:sz w:val="16"/>
      <w:szCs w:val="16"/>
      <w:lang w:val="en-US"/>
    </w:rPr>
  </w:style>
  <w:style w:type="character" w:styleId="Hyperlink">
    <w:name w:val="Hyperlink"/>
    <w:basedOn w:val="DefaultParagraphFont"/>
    <w:uiPriority w:val="99"/>
    <w:rsid w:val="007B5F9B"/>
    <w:rPr>
      <w:rFonts w:cs="Times New Roman"/>
      <w:color w:val="0000FF"/>
      <w:u w:val="single"/>
    </w:rPr>
  </w:style>
  <w:style w:type="paragraph" w:customStyle="1" w:styleId="ContactU">
    <w:name w:val="ContactU"/>
    <w:basedOn w:val="Normal"/>
    <w:uiPriority w:val="99"/>
    <w:rsid w:val="007B5F9B"/>
    <w:pPr>
      <w:overflowPunct w:val="0"/>
      <w:autoSpaceDE w:val="0"/>
      <w:autoSpaceDN w:val="0"/>
      <w:adjustRightInd w:val="0"/>
      <w:ind w:left="5760"/>
      <w:textAlignment w:val="baseline"/>
    </w:pPr>
    <w:rPr>
      <w:rFonts w:ascii="Times New Roman" w:hAnsi="Times New Roman"/>
      <w:sz w:val="26"/>
      <w:u w:val="single"/>
    </w:rPr>
  </w:style>
  <w:style w:type="paragraph" w:customStyle="1" w:styleId="Contact">
    <w:name w:val="Contact"/>
    <w:basedOn w:val="Normal"/>
    <w:uiPriority w:val="99"/>
    <w:rsid w:val="007B5F9B"/>
    <w:pPr>
      <w:overflowPunct w:val="0"/>
      <w:autoSpaceDE w:val="0"/>
      <w:autoSpaceDN w:val="0"/>
      <w:adjustRightInd w:val="0"/>
      <w:ind w:left="5760"/>
      <w:textAlignment w:val="baseline"/>
    </w:pPr>
    <w:rPr>
      <w:rFonts w:ascii="Times New Roman" w:hAnsi="Times New Roman"/>
      <w:sz w:val="26"/>
    </w:rPr>
  </w:style>
  <w:style w:type="paragraph" w:styleId="Title">
    <w:name w:val="Title"/>
    <w:basedOn w:val="Normal"/>
    <w:next w:val="Normal"/>
    <w:link w:val="TitleChar"/>
    <w:uiPriority w:val="99"/>
    <w:qFormat/>
    <w:rsid w:val="007B5F9B"/>
    <w:pPr>
      <w:keepNext/>
      <w:keepLines/>
      <w:overflowPunct w:val="0"/>
      <w:autoSpaceDE w:val="0"/>
      <w:autoSpaceDN w:val="0"/>
      <w:adjustRightInd w:val="0"/>
      <w:spacing w:before="240" w:after="240"/>
      <w:textAlignment w:val="baseline"/>
    </w:pPr>
    <w:rPr>
      <w:rFonts w:ascii="Arial" w:hAnsi="Arial"/>
      <w:sz w:val="22"/>
    </w:rPr>
  </w:style>
  <w:style w:type="character" w:customStyle="1" w:styleId="TitleChar">
    <w:name w:val="Title Char"/>
    <w:basedOn w:val="DefaultParagraphFont"/>
    <w:link w:val="Title"/>
    <w:uiPriority w:val="99"/>
    <w:locked/>
    <w:rsid w:val="007B5F9B"/>
    <w:rPr>
      <w:rFonts w:ascii="Arial" w:hAnsi="Arial" w:cs="Times New Roman"/>
      <w:sz w:val="22"/>
      <w:lang w:val="en-US"/>
    </w:rPr>
  </w:style>
  <w:style w:type="character" w:customStyle="1" w:styleId="RubrikChar">
    <w:name w:val="Rubrik Char"/>
    <w:basedOn w:val="DefaultParagraphFont"/>
    <w:link w:val="Title"/>
    <w:uiPriority w:val="99"/>
    <w:locked/>
    <w:rsid w:val="007B5F9B"/>
    <w:rPr>
      <w:rFonts w:ascii="Times New Roman" w:hAnsi="Times New Roman" w:cs="Times New Roman"/>
      <w:b/>
      <w:bCs/>
      <w:snapToGrid w:val="0"/>
      <w:kern w:val="28"/>
      <w:sz w:val="32"/>
      <w:szCs w:val="32"/>
      <w:lang w:val="en-US"/>
    </w:rPr>
  </w:style>
  <w:style w:type="paragraph" w:styleId="BlockText">
    <w:name w:val="Block Text"/>
    <w:basedOn w:val="Normal"/>
    <w:uiPriority w:val="99"/>
    <w:rsid w:val="007B5F9B"/>
    <w:pPr>
      <w:overflowPunct w:val="0"/>
      <w:autoSpaceDE w:val="0"/>
      <w:autoSpaceDN w:val="0"/>
      <w:adjustRightInd w:val="0"/>
      <w:ind w:left="360" w:right="-360"/>
      <w:jc w:val="center"/>
      <w:textAlignment w:val="baseline"/>
    </w:pPr>
    <w:rPr>
      <w:rFonts w:ascii="Times New Roman" w:hAnsi="Times New Roman"/>
      <w:i/>
      <w:sz w:val="26"/>
      <w:szCs w:val="26"/>
    </w:rPr>
  </w:style>
  <w:style w:type="paragraph" w:customStyle="1" w:styleId="EMEANormal">
    <w:name w:val="EMEA Normal"/>
    <w:uiPriority w:val="99"/>
    <w:rsid w:val="007B5F9B"/>
    <w:pPr>
      <w:tabs>
        <w:tab w:val="left" w:pos="562"/>
      </w:tabs>
      <w:suppressAutoHyphens/>
    </w:pPr>
    <w:rPr>
      <w:szCs w:val="20"/>
      <w:lang w:val="en-US"/>
    </w:rPr>
  </w:style>
  <w:style w:type="paragraph" w:customStyle="1" w:styleId="TableText">
    <w:name w:val="Table Text"/>
    <w:uiPriority w:val="99"/>
    <w:rsid w:val="007B5F9B"/>
    <w:pPr>
      <w:keepNext/>
      <w:keepLines/>
      <w:tabs>
        <w:tab w:val="left" w:pos="360"/>
      </w:tabs>
      <w:suppressAutoHyphens/>
      <w:spacing w:before="40" w:after="40" w:line="240" w:lineRule="exact"/>
    </w:pPr>
    <w:rPr>
      <w:sz w:val="20"/>
      <w:szCs w:val="20"/>
      <w:lang w:val="en-US"/>
    </w:rPr>
  </w:style>
  <w:style w:type="paragraph" w:styleId="FootnoteText">
    <w:name w:val="footnote text"/>
    <w:basedOn w:val="Normal"/>
    <w:link w:val="FootnoteTextChar"/>
    <w:uiPriority w:val="99"/>
    <w:semiHidden/>
    <w:rsid w:val="007B5F9B"/>
    <w:rPr>
      <w:sz w:val="20"/>
    </w:rPr>
  </w:style>
  <w:style w:type="character" w:customStyle="1" w:styleId="FootnoteTextChar">
    <w:name w:val="Footnote Text Char"/>
    <w:basedOn w:val="DefaultParagraphFont"/>
    <w:link w:val="FootnoteText"/>
    <w:uiPriority w:val="99"/>
    <w:semiHidden/>
    <w:locked/>
    <w:rsid w:val="007B5F9B"/>
    <w:rPr>
      <w:rFonts w:ascii="Times" w:hAnsi="Times" w:cs="Times New Roman"/>
      <w:snapToGrid w:val="0"/>
      <w:lang w:val="en-US"/>
    </w:rPr>
  </w:style>
  <w:style w:type="character" w:styleId="FootnoteReference">
    <w:name w:val="footnote reference"/>
    <w:basedOn w:val="DefaultParagraphFont"/>
    <w:uiPriority w:val="99"/>
    <w:semiHidden/>
    <w:rsid w:val="007B5F9B"/>
    <w:rPr>
      <w:rFonts w:cs="Times New Roman"/>
      <w:vertAlign w:val="superscript"/>
    </w:rPr>
  </w:style>
  <w:style w:type="paragraph" w:styleId="BodyText">
    <w:name w:val="Body Text"/>
    <w:basedOn w:val="Normal"/>
    <w:link w:val="BodyTextChar"/>
    <w:uiPriority w:val="99"/>
    <w:rsid w:val="007B5F9B"/>
    <w:pPr>
      <w:spacing w:after="120"/>
    </w:pPr>
  </w:style>
  <w:style w:type="character" w:customStyle="1" w:styleId="BodyTextChar">
    <w:name w:val="Body Text Char"/>
    <w:basedOn w:val="DefaultParagraphFont"/>
    <w:link w:val="BodyText"/>
    <w:uiPriority w:val="99"/>
    <w:semiHidden/>
    <w:locked/>
    <w:rsid w:val="007B5F9B"/>
    <w:rPr>
      <w:rFonts w:ascii="Times" w:hAnsi="Times" w:cs="Times New Roman"/>
      <w:snapToGrid w:val="0"/>
      <w:sz w:val="24"/>
      <w:lang w:val="en-US"/>
    </w:rPr>
  </w:style>
  <w:style w:type="character" w:styleId="Emphasis">
    <w:name w:val="Emphasis"/>
    <w:basedOn w:val="DefaultParagraphFont"/>
    <w:uiPriority w:val="99"/>
    <w:qFormat/>
    <w:rsid w:val="007B5F9B"/>
    <w:rPr>
      <w:rFonts w:cs="Times New Roman"/>
      <w:i/>
    </w:rPr>
  </w:style>
  <w:style w:type="paragraph" w:customStyle="1" w:styleId="Ballongtext1">
    <w:name w:val="Ballongtext1"/>
    <w:basedOn w:val="Normal"/>
    <w:uiPriority w:val="99"/>
    <w:semiHidden/>
    <w:rsid w:val="007B5F9B"/>
    <w:rPr>
      <w:rFonts w:ascii="Times New Roman" w:hAnsi="Times New Roman"/>
      <w:sz w:val="16"/>
      <w:szCs w:val="16"/>
    </w:rPr>
  </w:style>
  <w:style w:type="paragraph" w:styleId="BodyText2">
    <w:name w:val="Body Text 2"/>
    <w:basedOn w:val="Normal"/>
    <w:link w:val="BodyText2Char"/>
    <w:uiPriority w:val="99"/>
    <w:rsid w:val="007B5F9B"/>
    <w:pPr>
      <w:spacing w:line="360" w:lineRule="auto"/>
    </w:pPr>
    <w:rPr>
      <w:rFonts w:ascii="Arial" w:hAnsi="Arial" w:cs="Arial"/>
      <w:b/>
      <w:bCs/>
      <w:color w:val="000000"/>
      <w:sz w:val="22"/>
      <w:szCs w:val="22"/>
      <w:lang w:val="sv-SE"/>
    </w:rPr>
  </w:style>
  <w:style w:type="character" w:customStyle="1" w:styleId="BodyText2Char">
    <w:name w:val="Body Text 2 Char"/>
    <w:basedOn w:val="DefaultParagraphFont"/>
    <w:link w:val="BodyText2"/>
    <w:uiPriority w:val="99"/>
    <w:semiHidden/>
    <w:locked/>
    <w:rsid w:val="000B5C4B"/>
    <w:rPr>
      <w:rFonts w:ascii="Times" w:hAnsi="Times" w:cs="Times New Roman"/>
      <w:sz w:val="20"/>
      <w:szCs w:val="20"/>
      <w:lang w:val="en-US"/>
    </w:rPr>
  </w:style>
  <w:style w:type="paragraph" w:customStyle="1" w:styleId="Default">
    <w:name w:val="Default"/>
    <w:uiPriority w:val="99"/>
    <w:rsid w:val="007B5F9B"/>
    <w:pPr>
      <w:autoSpaceDE w:val="0"/>
      <w:autoSpaceDN w:val="0"/>
      <w:adjustRightInd w:val="0"/>
    </w:pPr>
    <w:rPr>
      <w:rFonts w:ascii="Arial" w:hAnsi="Arial" w:cs="Arial"/>
      <w:color w:val="000000"/>
      <w:sz w:val="24"/>
      <w:szCs w:val="24"/>
      <w:lang w:val="en-US"/>
    </w:rPr>
  </w:style>
  <w:style w:type="character" w:customStyle="1" w:styleId="SidhuvudChar1">
    <w:name w:val="Sidhuvud Char1"/>
    <w:uiPriority w:val="99"/>
    <w:locked/>
    <w:rsid w:val="007B5F9B"/>
    <w:rPr>
      <w:rFonts w:ascii="Times" w:hAnsi="Times"/>
      <w:sz w:val="24"/>
      <w:lang w:val="en-US"/>
    </w:rPr>
  </w:style>
  <w:style w:type="paragraph" w:customStyle="1" w:styleId="Liststycke">
    <w:name w:val="Liststycke"/>
    <w:basedOn w:val="Normal"/>
    <w:uiPriority w:val="99"/>
    <w:rsid w:val="007B5F9B"/>
    <w:pPr>
      <w:ind w:left="1304"/>
    </w:pPr>
  </w:style>
  <w:style w:type="paragraph" w:customStyle="1" w:styleId="Ingetavstnd">
    <w:name w:val="Inget avstånd"/>
    <w:uiPriority w:val="99"/>
    <w:rsid w:val="007B5F9B"/>
    <w:rPr>
      <w:rFonts w:ascii="Times" w:hAnsi="Times"/>
      <w:sz w:val="24"/>
      <w:szCs w:val="20"/>
      <w:lang w:val="en-US"/>
    </w:rPr>
  </w:style>
  <w:style w:type="character" w:customStyle="1" w:styleId="tw4winMark">
    <w:name w:val="tw4winMark"/>
    <w:uiPriority w:val="99"/>
    <w:rsid w:val="007B5F9B"/>
    <w:rPr>
      <w:rFonts w:ascii="Courier New" w:hAnsi="Courier New"/>
      <w:vanish/>
      <w:color w:val="800080"/>
      <w:sz w:val="24"/>
      <w:vertAlign w:val="subscript"/>
    </w:rPr>
  </w:style>
  <w:style w:type="character" w:customStyle="1" w:styleId="tw4winError">
    <w:name w:val="tw4winError"/>
    <w:uiPriority w:val="99"/>
    <w:rsid w:val="007B5F9B"/>
    <w:rPr>
      <w:rFonts w:ascii="Courier New" w:hAnsi="Courier New"/>
      <w:color w:val="00FF00"/>
      <w:sz w:val="40"/>
    </w:rPr>
  </w:style>
  <w:style w:type="character" w:customStyle="1" w:styleId="tw4winTerm">
    <w:name w:val="tw4winTerm"/>
    <w:uiPriority w:val="99"/>
    <w:rsid w:val="007B5F9B"/>
    <w:rPr>
      <w:color w:val="0000FF"/>
    </w:rPr>
  </w:style>
  <w:style w:type="character" w:customStyle="1" w:styleId="tw4winPopup">
    <w:name w:val="tw4winPopup"/>
    <w:uiPriority w:val="99"/>
    <w:rsid w:val="007B5F9B"/>
    <w:rPr>
      <w:rFonts w:ascii="Courier New" w:hAnsi="Courier New"/>
      <w:noProof/>
      <w:color w:val="008000"/>
    </w:rPr>
  </w:style>
  <w:style w:type="character" w:customStyle="1" w:styleId="tw4winJump">
    <w:name w:val="tw4winJump"/>
    <w:uiPriority w:val="99"/>
    <w:rsid w:val="007B5F9B"/>
    <w:rPr>
      <w:rFonts w:ascii="Courier New" w:hAnsi="Courier New"/>
      <w:noProof/>
      <w:color w:val="008080"/>
    </w:rPr>
  </w:style>
  <w:style w:type="character" w:customStyle="1" w:styleId="tw4winExternal">
    <w:name w:val="tw4winExternal"/>
    <w:uiPriority w:val="99"/>
    <w:rsid w:val="007B5F9B"/>
    <w:rPr>
      <w:rFonts w:ascii="Courier New" w:hAnsi="Courier New"/>
      <w:noProof/>
      <w:color w:val="808080"/>
    </w:rPr>
  </w:style>
  <w:style w:type="character" w:customStyle="1" w:styleId="tw4winInternal">
    <w:name w:val="tw4winInternal"/>
    <w:uiPriority w:val="99"/>
    <w:rsid w:val="007B5F9B"/>
    <w:rPr>
      <w:rFonts w:ascii="Courier New" w:hAnsi="Courier New"/>
      <w:noProof/>
      <w:color w:val="FF0000"/>
    </w:rPr>
  </w:style>
  <w:style w:type="character" w:customStyle="1" w:styleId="DONOTTRANSLATE">
    <w:name w:val="DO_NOT_TRANSLATE"/>
    <w:uiPriority w:val="99"/>
    <w:rsid w:val="007B5F9B"/>
    <w:rPr>
      <w:rFonts w:ascii="Courier New" w:hAnsi="Courier New"/>
      <w:noProof/>
      <w:color w:val="80000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bbott.se/" TargetMode="External"/><Relationship Id="rId12" Type="http://schemas.openxmlformats.org/officeDocument/2006/relationships/hyperlink" Target="http://www.abbott.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orvir.com/important-safety-information.cfm" TargetMode="External"/><Relationship Id="rId9" Type="http://schemas.openxmlformats.org/officeDocument/2006/relationships/hyperlink" Target="http://www.fass.se" TargetMode="External"/><Relationship Id="rId10" Type="http://schemas.openxmlformats.org/officeDocument/2006/relationships/hyperlink" Target="http://www.enant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20C21-20B5-455A-9691-2EADAA177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1669</Words>
  <Characters>9518</Characters>
  <Application>Microsoft Word 12.0.0</Application>
  <DocSecurity>0</DocSecurity>
  <Lines>79</Lines>
  <Paragraphs>19</Paragraphs>
  <ScaleCrop>false</ScaleCrop>
  <HeadingPairs>
    <vt:vector size="2" baseType="variant">
      <vt:variant>
        <vt:lpstr>Title</vt:lpstr>
      </vt:variant>
      <vt:variant>
        <vt:i4>1</vt:i4>
      </vt:variant>
    </vt:vector>
  </HeadingPairs>
  <TitlesOfParts>
    <vt:vector size="1" baseType="lpstr">
      <vt:lpstr>Svensk Pressrelease mall</vt:lpstr>
    </vt:vector>
  </TitlesOfParts>
  <Company/>
  <LinksUpToDate>false</LinksUpToDate>
  <CharactersWithSpaces>11688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Svensk Pressrelease mall</dc:title>
  <dc:subject/>
  <dc:creator/>
  <cp:keywords/>
  <dc:description/>
  <cp:lastModifiedBy/>
  <cp:revision>2</cp:revision>
  <cp:lastPrinted>2012-04-26T11:06:00Z</cp:lastPrinted>
  <dcterms:created xsi:type="dcterms:W3CDTF">2012-05-11T10:04:00Z</dcterms:created>
  <dcterms:modified xsi:type="dcterms:W3CDTF">2012-05-11T10:04:00Z</dcterms:modified>
</cp:coreProperties>
</file>