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BE3B57" w:rsidRDefault="00CC3C22" w:rsidP="00CC3C22">
            <w:pPr>
              <w:jc w:val="left"/>
              <w:rPr>
                <w:rFonts w:ascii="Arial" w:hAnsi="Arial" w:cs="Arial"/>
                <w:sz w:val="20"/>
              </w:rPr>
            </w:pPr>
            <w:r>
              <w:rPr>
                <w:sz w:val="20"/>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77777777" w:rsidR="00CC3C22" w:rsidRPr="00BE3B57" w:rsidRDefault="00CC3C22" w:rsidP="00CC3C22">
            <w:pPr>
              <w:jc w:val="left"/>
              <w:rPr>
                <w:rFonts w:ascii="Arial" w:hAnsi="Arial" w:cs="Arial"/>
                <w:sz w:val="20"/>
              </w:rPr>
            </w:pP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BE3B57" w:rsidRDefault="00CC3C22" w:rsidP="00CC3C22">
            <w:pPr>
              <w:jc w:val="left"/>
              <w:rPr>
                <w:rFonts w:ascii="Arial" w:hAnsi="Arial" w:cs="Arial"/>
                <w:sz w:val="20"/>
              </w:rPr>
            </w:pPr>
            <w:r>
              <w:rPr>
                <w:sz w:val="20"/>
              </w:rPr>
              <w:t>Primary Health Properties plc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77777777" w:rsidR="00CC3C22" w:rsidRPr="00BE3B57" w:rsidRDefault="00CC3C22" w:rsidP="00CC3C22">
            <w:pPr>
              <w:jc w:val="left"/>
              <w:rPr>
                <w:rFonts w:ascii="Arial" w:hAnsi="Arial" w:cs="Arial"/>
                <w:sz w:val="20"/>
              </w:rPr>
            </w:pP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3C6A0006" w:rsidR="00CC3C22" w:rsidRDefault="0033256D" w:rsidP="00CC3C22">
            <w:pPr>
              <w:jc w:val="left"/>
              <w:rPr>
                <w:rFonts w:ascii="Arial" w:hAnsi="Arial" w:cs="Arial"/>
                <w:sz w:val="20"/>
              </w:rPr>
            </w:pPr>
            <w:r>
              <w:rPr>
                <w:sz w:val="20"/>
              </w:rPr>
              <w:t>30</w:t>
            </w:r>
            <w:r w:rsidR="00CC3C22">
              <w:rPr>
                <w:sz w:val="20"/>
              </w:rPr>
              <w:t>/04/2025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3BC9EA88" w14:textId="40207C71" w:rsidR="005E36E1" w:rsidRPr="00FC1969" w:rsidRDefault="00CC3C22" w:rsidP="005E36E1">
            <w:pPr>
              <w:jc w:val="left"/>
              <w:rPr>
                <w:rFonts w:ascii="Arial" w:hAnsi="Arial" w:cs="Arial"/>
                <w:i/>
                <w:color w:val="FF0000"/>
                <w:sz w:val="20"/>
              </w:rPr>
            </w:pPr>
            <w:r>
              <w:rPr>
                <w:rFonts w:ascii="Arial" w:hAnsi="Arial" w:cs="Arial"/>
                <w:sz w:val="20"/>
              </w:rPr>
              <w:t>N</w:t>
            </w:r>
            <w:r w:rsidR="005B7EE5">
              <w:rPr>
                <w:rFonts w:ascii="Arial" w:hAnsi="Arial" w:cs="Arial"/>
                <w:sz w:val="20"/>
              </w:rPr>
              <w:t>o</w:t>
            </w:r>
          </w:p>
          <w:p w14:paraId="4C3725DE" w14:textId="379E1CB1" w:rsidR="00CC3C22" w:rsidRPr="00FC1969" w:rsidRDefault="00CC3C22" w:rsidP="00E135CF">
            <w:pPr>
              <w:jc w:val="left"/>
              <w:rPr>
                <w:rFonts w:ascii="Arial" w:hAnsi="Arial" w:cs="Arial"/>
                <w:i/>
                <w:color w:val="FF0000"/>
                <w:sz w:val="20"/>
              </w:rPr>
            </w:pP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327CDC" w:rsidRDefault="00761466" w:rsidP="00761466">
      <w:pPr>
        <w:rPr>
          <w:rFonts w:ascii="Arial" w:hAnsi="Arial" w:cs="Arial"/>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819"/>
        <w:gridCol w:w="574"/>
        <w:gridCol w:w="1821"/>
        <w:gridCol w:w="606"/>
      </w:tblGrid>
      <w:tr w:rsidR="00CC3C22" w:rsidRPr="00D4375E" w14:paraId="2375AEA6" w14:textId="77777777" w:rsidTr="00BB2CAE">
        <w:tc>
          <w:tcPr>
            <w:tcW w:w="2096" w:type="pct"/>
            <w:tcBorders>
              <w:bottom w:val="single" w:sz="4" w:space="0" w:color="auto"/>
            </w:tcBorders>
            <w:shd w:val="clear" w:color="auto" w:fill="auto"/>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2904" w:type="pct"/>
            <w:gridSpan w:val="4"/>
            <w:shd w:val="clear" w:color="auto" w:fill="auto"/>
            <w:vAlign w:val="center"/>
          </w:tcPr>
          <w:p w14:paraId="033F037E" w14:textId="42AA1E54" w:rsidR="00CC3C22" w:rsidRPr="00D4375E" w:rsidRDefault="00761466" w:rsidP="00761466">
            <w:pPr>
              <w:pStyle w:val="Header"/>
              <w:jc w:val="center"/>
              <w:rPr>
                <w:rFonts w:ascii="Arial" w:hAnsi="Arial" w:cs="Arial"/>
                <w:b/>
                <w:sz w:val="20"/>
              </w:rPr>
            </w:pPr>
            <w:r w:rsidRPr="00327CDC">
              <w:rPr>
                <w:rFonts w:ascii="Arial" w:hAnsi="Arial" w:cs="Arial"/>
                <w:bCs/>
                <w:sz w:val="20"/>
              </w:rPr>
              <w:t>12.5p ordinary</w:t>
            </w:r>
          </w:p>
        </w:tc>
      </w:tr>
      <w:tr w:rsidR="00CC3C22" w:rsidRPr="00D4375E" w14:paraId="7097F782" w14:textId="77777777" w:rsidTr="00BB2CAE">
        <w:tc>
          <w:tcPr>
            <w:tcW w:w="2096"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1442" w:type="pct"/>
            <w:gridSpan w:val="2"/>
            <w:shd w:val="clear" w:color="auto" w:fill="auto"/>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1462" w:type="pct"/>
            <w:gridSpan w:val="2"/>
            <w:shd w:val="clear" w:color="auto" w:fill="auto"/>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BB2CAE">
        <w:tc>
          <w:tcPr>
            <w:tcW w:w="2096"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096" w:type="pct"/>
            <w:shd w:val="clear" w:color="auto" w:fill="auto"/>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46" w:type="pct"/>
            <w:shd w:val="clear" w:color="auto" w:fill="auto"/>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097" w:type="pct"/>
            <w:shd w:val="clear" w:color="auto" w:fill="auto"/>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65" w:type="pct"/>
            <w:shd w:val="clear" w:color="auto" w:fill="auto"/>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BB2CAE">
        <w:tc>
          <w:tcPr>
            <w:tcW w:w="2096" w:type="pct"/>
            <w:shd w:val="clear" w:color="auto" w:fill="auto"/>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096" w:type="pct"/>
            <w:shd w:val="clear" w:color="auto" w:fill="auto"/>
            <w:vAlign w:val="center"/>
          </w:tcPr>
          <w:p w14:paraId="7303F493" w14:textId="3BC939B1" w:rsidR="00CC3C22" w:rsidRPr="00D4375E" w:rsidRDefault="00CC3C22" w:rsidP="00E171E7">
            <w:pPr>
              <w:pStyle w:val="Header"/>
              <w:jc w:val="center"/>
              <w:rPr>
                <w:rFonts w:ascii="Arial" w:hAnsi="Arial" w:cs="Arial"/>
                <w:b/>
                <w:sz w:val="20"/>
              </w:rPr>
            </w:pPr>
          </w:p>
        </w:tc>
        <w:tc>
          <w:tcPr>
            <w:tcW w:w="346" w:type="pct"/>
            <w:shd w:val="clear" w:color="auto" w:fill="auto"/>
            <w:vAlign w:val="center"/>
          </w:tcPr>
          <w:p w14:paraId="79CAA2AF" w14:textId="5AA48816" w:rsidR="00CC3C22" w:rsidRPr="00D4375E" w:rsidRDefault="00CC3C22" w:rsidP="00E171E7">
            <w:pPr>
              <w:pStyle w:val="Header"/>
              <w:jc w:val="center"/>
              <w:rPr>
                <w:rFonts w:ascii="Arial" w:hAnsi="Arial" w:cs="Arial"/>
                <w:b/>
                <w:sz w:val="20"/>
              </w:rPr>
            </w:pPr>
          </w:p>
        </w:tc>
        <w:tc>
          <w:tcPr>
            <w:tcW w:w="1097" w:type="pct"/>
            <w:shd w:val="clear" w:color="auto" w:fill="auto"/>
            <w:vAlign w:val="center"/>
          </w:tcPr>
          <w:p w14:paraId="6DD01A5E" w14:textId="68ACE7AE" w:rsidR="00CC3C22" w:rsidRPr="00D4375E" w:rsidRDefault="00CC3C22" w:rsidP="00E171E7">
            <w:pPr>
              <w:pStyle w:val="Header"/>
              <w:jc w:val="center"/>
              <w:rPr>
                <w:rFonts w:ascii="Arial" w:hAnsi="Arial" w:cs="Arial"/>
                <w:b/>
                <w:sz w:val="20"/>
              </w:rPr>
            </w:pPr>
          </w:p>
        </w:tc>
        <w:tc>
          <w:tcPr>
            <w:tcW w:w="365" w:type="pct"/>
            <w:shd w:val="clear" w:color="auto" w:fill="auto"/>
            <w:vAlign w:val="center"/>
          </w:tcPr>
          <w:p w14:paraId="63907FA8" w14:textId="4B33A84C" w:rsidR="00CC3C22" w:rsidRPr="00D4375E" w:rsidRDefault="00CC3C22" w:rsidP="00E171E7">
            <w:pPr>
              <w:pStyle w:val="Header"/>
              <w:jc w:val="center"/>
              <w:rPr>
                <w:rFonts w:ascii="Arial" w:hAnsi="Arial" w:cs="Arial"/>
                <w:b/>
                <w:sz w:val="20"/>
              </w:rPr>
            </w:pPr>
          </w:p>
        </w:tc>
      </w:tr>
      <w:tr w:rsidR="00CC3C22" w:rsidRPr="00D4375E" w14:paraId="0D43C125" w14:textId="77777777" w:rsidTr="00BB2CAE">
        <w:tc>
          <w:tcPr>
            <w:tcW w:w="2096" w:type="pct"/>
            <w:shd w:val="clear" w:color="auto" w:fill="auto"/>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096" w:type="pct"/>
            <w:shd w:val="clear" w:color="auto" w:fill="auto"/>
            <w:vAlign w:val="center"/>
          </w:tcPr>
          <w:p w14:paraId="3ADA8F93" w14:textId="38F32E78" w:rsidR="00CC3C22" w:rsidRPr="00D4375E" w:rsidRDefault="00CC3C22" w:rsidP="00193DC0">
            <w:pPr>
              <w:pStyle w:val="Header"/>
              <w:jc w:val="center"/>
              <w:rPr>
                <w:rFonts w:ascii="Arial" w:hAnsi="Arial" w:cs="Arial"/>
                <w:b/>
                <w:sz w:val="20"/>
              </w:rPr>
            </w:pPr>
          </w:p>
        </w:tc>
        <w:tc>
          <w:tcPr>
            <w:tcW w:w="346" w:type="pct"/>
            <w:shd w:val="clear" w:color="auto" w:fill="auto"/>
            <w:vAlign w:val="center"/>
          </w:tcPr>
          <w:p w14:paraId="6DC2CE8B" w14:textId="71BF739A" w:rsidR="00CC3C22" w:rsidRPr="00D4375E" w:rsidRDefault="00CC3C22" w:rsidP="00193DC0">
            <w:pPr>
              <w:pStyle w:val="Header"/>
              <w:jc w:val="center"/>
              <w:rPr>
                <w:rFonts w:ascii="Arial" w:hAnsi="Arial" w:cs="Arial"/>
                <w:b/>
                <w:sz w:val="20"/>
              </w:rPr>
            </w:pPr>
          </w:p>
        </w:tc>
        <w:tc>
          <w:tcPr>
            <w:tcW w:w="1097" w:type="pct"/>
            <w:shd w:val="clear" w:color="auto" w:fill="auto"/>
            <w:vAlign w:val="center"/>
          </w:tcPr>
          <w:p w14:paraId="657AAA06" w14:textId="29BD046B" w:rsidR="00CC3C22" w:rsidRPr="00D4375E" w:rsidRDefault="0033256D" w:rsidP="00193DC0">
            <w:pPr>
              <w:pStyle w:val="Header"/>
              <w:jc w:val="center"/>
              <w:rPr>
                <w:rFonts w:ascii="Arial" w:hAnsi="Arial" w:cs="Arial"/>
                <w:b/>
                <w:sz w:val="20"/>
              </w:rPr>
            </w:pPr>
            <w:r>
              <w:rPr>
                <w:rFonts w:ascii="Arial" w:hAnsi="Arial" w:cs="Arial"/>
                <w:bCs/>
                <w:sz w:val="20"/>
              </w:rPr>
              <w:t>0</w:t>
            </w:r>
          </w:p>
        </w:tc>
        <w:tc>
          <w:tcPr>
            <w:tcW w:w="365" w:type="pct"/>
            <w:shd w:val="clear" w:color="auto" w:fill="auto"/>
            <w:vAlign w:val="center"/>
          </w:tcPr>
          <w:p w14:paraId="2DD98804" w14:textId="4DFBE1A3" w:rsidR="00CC3C22" w:rsidRPr="00D4375E" w:rsidRDefault="00193DC0" w:rsidP="00193DC0">
            <w:pPr>
              <w:pStyle w:val="Header"/>
              <w:jc w:val="center"/>
              <w:rPr>
                <w:rFonts w:ascii="Arial" w:hAnsi="Arial" w:cs="Arial"/>
                <w:b/>
                <w:sz w:val="20"/>
              </w:rPr>
            </w:pPr>
            <w:r w:rsidRPr="00F70D20">
              <w:rPr>
                <w:rFonts w:ascii="Arial" w:hAnsi="Arial" w:cs="Arial"/>
                <w:bCs/>
                <w:sz w:val="20"/>
              </w:rPr>
              <w:t>0.0</w:t>
            </w:r>
            <w:r w:rsidR="00535DFF">
              <w:rPr>
                <w:rFonts w:ascii="Arial" w:hAnsi="Arial" w:cs="Arial"/>
                <w:bCs/>
                <w:sz w:val="20"/>
              </w:rPr>
              <w:t>0</w:t>
            </w:r>
          </w:p>
        </w:tc>
      </w:tr>
      <w:tr w:rsidR="00CC3C22" w:rsidRPr="00D4375E" w14:paraId="004D6CAB" w14:textId="77777777" w:rsidTr="00BB2CAE">
        <w:tc>
          <w:tcPr>
            <w:tcW w:w="2096" w:type="pct"/>
            <w:shd w:val="clear" w:color="auto" w:fill="auto"/>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096" w:type="pct"/>
            <w:shd w:val="clear" w:color="auto" w:fill="auto"/>
            <w:vAlign w:val="center"/>
          </w:tcPr>
          <w:p w14:paraId="16F8BDEC" w14:textId="34AE5318" w:rsidR="00CC3C22" w:rsidRPr="00D4375E" w:rsidRDefault="00CC3C22" w:rsidP="009423F5">
            <w:pPr>
              <w:pStyle w:val="Header"/>
              <w:jc w:val="center"/>
              <w:rPr>
                <w:rFonts w:ascii="Arial" w:hAnsi="Arial" w:cs="Arial"/>
                <w:b/>
                <w:sz w:val="20"/>
              </w:rPr>
            </w:pPr>
          </w:p>
        </w:tc>
        <w:tc>
          <w:tcPr>
            <w:tcW w:w="346" w:type="pct"/>
            <w:shd w:val="clear" w:color="auto" w:fill="auto"/>
            <w:vAlign w:val="center"/>
          </w:tcPr>
          <w:p w14:paraId="5F9AC54C" w14:textId="54638760" w:rsidR="00CC3C22" w:rsidRPr="00D4375E" w:rsidRDefault="00CC3C22" w:rsidP="009423F5">
            <w:pPr>
              <w:pStyle w:val="Header"/>
              <w:jc w:val="center"/>
              <w:rPr>
                <w:rFonts w:ascii="Arial" w:hAnsi="Arial" w:cs="Arial"/>
                <w:b/>
                <w:sz w:val="20"/>
              </w:rPr>
            </w:pPr>
          </w:p>
        </w:tc>
        <w:tc>
          <w:tcPr>
            <w:tcW w:w="1097" w:type="pct"/>
            <w:shd w:val="clear" w:color="auto" w:fill="auto"/>
            <w:vAlign w:val="center"/>
          </w:tcPr>
          <w:p w14:paraId="4F8FE826" w14:textId="43277E28" w:rsidR="00CC3C22" w:rsidRPr="00D4375E" w:rsidRDefault="00CC3C22" w:rsidP="009423F5">
            <w:pPr>
              <w:pStyle w:val="Header"/>
              <w:jc w:val="center"/>
              <w:rPr>
                <w:rFonts w:ascii="Arial" w:hAnsi="Arial" w:cs="Arial"/>
                <w:b/>
                <w:sz w:val="20"/>
              </w:rPr>
            </w:pPr>
          </w:p>
        </w:tc>
        <w:tc>
          <w:tcPr>
            <w:tcW w:w="365" w:type="pct"/>
            <w:shd w:val="clear" w:color="auto" w:fill="auto"/>
            <w:vAlign w:val="center"/>
          </w:tcPr>
          <w:p w14:paraId="5EC9D717" w14:textId="7B85F474" w:rsidR="00CC3C22" w:rsidRPr="00D4375E" w:rsidRDefault="00CC3C22" w:rsidP="009423F5">
            <w:pPr>
              <w:pStyle w:val="Header"/>
              <w:jc w:val="center"/>
              <w:rPr>
                <w:rFonts w:ascii="Arial" w:hAnsi="Arial" w:cs="Arial"/>
                <w:b/>
                <w:sz w:val="20"/>
              </w:rPr>
            </w:pPr>
          </w:p>
        </w:tc>
      </w:tr>
      <w:tr w:rsidR="00BB2CAE" w:rsidRPr="00D4375E" w14:paraId="3E3BE8BE" w14:textId="77777777" w:rsidTr="00BB2CAE">
        <w:tc>
          <w:tcPr>
            <w:tcW w:w="2096" w:type="pct"/>
            <w:shd w:val="clear" w:color="auto" w:fill="auto"/>
          </w:tcPr>
          <w:p w14:paraId="354E9165" w14:textId="77777777" w:rsidR="00BB2CAE" w:rsidRPr="00D4375E" w:rsidRDefault="00BB2CAE" w:rsidP="00BB2CAE">
            <w:pPr>
              <w:pStyle w:val="Header"/>
              <w:jc w:val="left"/>
              <w:rPr>
                <w:rFonts w:ascii="Arial" w:hAnsi="Arial" w:cs="Arial"/>
                <w:b/>
                <w:sz w:val="20"/>
              </w:rPr>
            </w:pPr>
          </w:p>
          <w:p w14:paraId="222CAF27" w14:textId="77777777" w:rsidR="00BB2CAE" w:rsidRPr="00D4375E" w:rsidRDefault="00BB2CAE" w:rsidP="00BB2CA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096" w:type="pct"/>
            <w:shd w:val="clear" w:color="auto" w:fill="auto"/>
            <w:vAlign w:val="center"/>
          </w:tcPr>
          <w:p w14:paraId="27483CC4" w14:textId="7E84CC44" w:rsidR="00BB2CAE" w:rsidRPr="00D4375E" w:rsidRDefault="00BB2CAE" w:rsidP="00BB2CAE">
            <w:pPr>
              <w:pStyle w:val="Header"/>
              <w:jc w:val="center"/>
              <w:rPr>
                <w:rFonts w:ascii="Arial" w:hAnsi="Arial" w:cs="Arial"/>
                <w:b/>
                <w:sz w:val="20"/>
              </w:rPr>
            </w:pPr>
          </w:p>
        </w:tc>
        <w:tc>
          <w:tcPr>
            <w:tcW w:w="346" w:type="pct"/>
            <w:shd w:val="clear" w:color="auto" w:fill="auto"/>
            <w:vAlign w:val="center"/>
          </w:tcPr>
          <w:p w14:paraId="194FFDA0" w14:textId="19DEAC4A" w:rsidR="00BB2CAE" w:rsidRPr="00D4375E" w:rsidRDefault="00BB2CAE" w:rsidP="00BB2CAE">
            <w:pPr>
              <w:pStyle w:val="Header"/>
              <w:jc w:val="center"/>
              <w:rPr>
                <w:rFonts w:ascii="Arial" w:hAnsi="Arial" w:cs="Arial"/>
                <w:b/>
                <w:sz w:val="20"/>
              </w:rPr>
            </w:pPr>
          </w:p>
        </w:tc>
        <w:tc>
          <w:tcPr>
            <w:tcW w:w="1097" w:type="pct"/>
            <w:shd w:val="clear" w:color="auto" w:fill="auto"/>
            <w:vAlign w:val="center"/>
          </w:tcPr>
          <w:p w14:paraId="2CC1B579" w14:textId="09B40B22" w:rsidR="00BB2CAE" w:rsidRPr="00D4375E" w:rsidRDefault="0033256D" w:rsidP="00BB2CAE">
            <w:pPr>
              <w:pStyle w:val="Header"/>
              <w:jc w:val="center"/>
              <w:rPr>
                <w:rFonts w:ascii="Arial" w:hAnsi="Arial" w:cs="Arial"/>
                <w:b/>
                <w:sz w:val="20"/>
              </w:rPr>
            </w:pPr>
            <w:r>
              <w:rPr>
                <w:rFonts w:ascii="Arial" w:hAnsi="Arial" w:cs="Arial"/>
                <w:bCs/>
                <w:sz w:val="20"/>
              </w:rPr>
              <w:t>0</w:t>
            </w:r>
          </w:p>
        </w:tc>
        <w:tc>
          <w:tcPr>
            <w:tcW w:w="365" w:type="pct"/>
            <w:shd w:val="clear" w:color="auto" w:fill="auto"/>
            <w:vAlign w:val="center"/>
          </w:tcPr>
          <w:p w14:paraId="1E5BAE56" w14:textId="1209B2FA" w:rsidR="00BB2CAE" w:rsidRPr="00D4375E" w:rsidRDefault="00BB2CAE" w:rsidP="00BB2CAE">
            <w:pPr>
              <w:pStyle w:val="Header"/>
              <w:jc w:val="center"/>
              <w:rPr>
                <w:rFonts w:ascii="Arial" w:hAnsi="Arial" w:cs="Arial"/>
                <w:b/>
                <w:sz w:val="20"/>
              </w:rPr>
            </w:pPr>
            <w:r w:rsidRPr="00931DEA">
              <w:rPr>
                <w:rFonts w:ascii="Arial" w:hAnsi="Arial" w:cs="Arial"/>
                <w:bCs/>
                <w:sz w:val="20"/>
              </w:rPr>
              <w:t>0.0</w:t>
            </w:r>
            <w:r w:rsidR="00535DFF">
              <w:rPr>
                <w:rFonts w:ascii="Arial" w:hAnsi="Arial" w:cs="Arial"/>
                <w:bCs/>
                <w:sz w:val="20"/>
              </w:rPr>
              <w:t>0</w:t>
            </w:r>
          </w:p>
        </w:tc>
      </w:tr>
    </w:tbl>
    <w:p w14:paraId="5B056FBE" w14:textId="77777777" w:rsidR="005F570C" w:rsidRDefault="005F570C" w:rsidP="005F570C">
      <w:pPr>
        <w:rPr>
          <w:rFonts w:ascii="Arial" w:hAnsi="Arial" w:cs="Arial"/>
          <w:bCs/>
          <w:sz w:val="20"/>
        </w:rPr>
      </w:pPr>
    </w:p>
    <w:p w14:paraId="7A9CB6A5" w14:textId="77777777" w:rsidR="005F570C" w:rsidRDefault="005F570C" w:rsidP="005F570C">
      <w:pPr>
        <w:rPr>
          <w:rFonts w:ascii="Arial" w:hAnsi="Arial" w:cs="Arial"/>
          <w:bCs/>
          <w:sz w:val="20"/>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FF073F" w:rsidRDefault="00CC3C22" w:rsidP="00CC3C22">
            <w:pPr>
              <w:keepNext/>
              <w:keepLines/>
              <w:jc w:val="left"/>
              <w:rPr>
                <w:rFonts w:ascii="Arial" w:hAnsi="Arial" w:cs="Arial"/>
                <w:bCs/>
                <w:sz w:val="20"/>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FF073F" w:rsidRDefault="00CC3C22" w:rsidP="00CC3C22">
            <w:pPr>
              <w:rPr>
                <w:rFonts w:ascii="Arial" w:hAnsi="Arial" w:cs="Arial"/>
                <w:bCs/>
                <w:sz w:val="20"/>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shd w:val="clear" w:color="auto" w:fill="auto"/>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shd w:val="clear" w:color="auto" w:fill="auto"/>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shd w:val="clear" w:color="auto" w:fill="auto"/>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shd w:val="clear" w:color="auto" w:fill="auto"/>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1609"/>
        <w:gridCol w:w="1390"/>
        <w:gridCol w:w="2440"/>
        <w:gridCol w:w="1388"/>
        <w:gridCol w:w="1472"/>
      </w:tblGrid>
      <w:tr w:rsidR="005515B4" w14:paraId="33C09F54" w14:textId="77777777" w:rsidTr="00A74E4D">
        <w:tc>
          <w:tcPr>
            <w:tcW w:w="969"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37"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0"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36"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87"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5E36E1" w:rsidRPr="007B342F" w14:paraId="32977B8F" w14:textId="77777777" w:rsidTr="00A74E4D">
        <w:tc>
          <w:tcPr>
            <w:tcW w:w="969" w:type="pct"/>
          </w:tcPr>
          <w:p w14:paraId="1368A05C" w14:textId="6CF282DC" w:rsidR="005E36E1" w:rsidRPr="007B342F" w:rsidRDefault="005E36E1" w:rsidP="00CC3C22">
            <w:pPr>
              <w:jc w:val="center"/>
              <w:rPr>
                <w:rFonts w:ascii="Arial" w:hAnsi="Arial" w:cs="Arial"/>
                <w:bCs/>
                <w:sz w:val="20"/>
              </w:rPr>
            </w:pPr>
            <w:r w:rsidRPr="007B342F">
              <w:rPr>
                <w:rFonts w:ascii="Arial" w:hAnsi="Arial" w:cs="Arial"/>
                <w:bCs/>
                <w:sz w:val="20"/>
              </w:rPr>
              <w:t>Common</w:t>
            </w:r>
          </w:p>
        </w:tc>
        <w:tc>
          <w:tcPr>
            <w:tcW w:w="837" w:type="pct"/>
          </w:tcPr>
          <w:p w14:paraId="2FDCAE95" w14:textId="0E27D710" w:rsidR="005E36E1" w:rsidRPr="007B342F" w:rsidRDefault="005E36E1" w:rsidP="00CC3C22">
            <w:pPr>
              <w:jc w:val="center"/>
              <w:rPr>
                <w:rFonts w:ascii="Arial" w:hAnsi="Arial" w:cs="Arial"/>
                <w:bCs/>
                <w:sz w:val="20"/>
              </w:rPr>
            </w:pPr>
            <w:r w:rsidRPr="007B342F">
              <w:rPr>
                <w:rFonts w:ascii="Arial" w:hAnsi="Arial" w:cs="Arial"/>
                <w:bCs/>
                <w:sz w:val="20"/>
              </w:rPr>
              <w:t>Swap</w:t>
            </w:r>
          </w:p>
        </w:tc>
        <w:tc>
          <w:tcPr>
            <w:tcW w:w="1470" w:type="pct"/>
          </w:tcPr>
          <w:p w14:paraId="402256B5" w14:textId="014C6FCD" w:rsidR="005E36E1" w:rsidRPr="007B342F" w:rsidRDefault="006E3C51" w:rsidP="00CC3C22">
            <w:pPr>
              <w:jc w:val="center"/>
              <w:rPr>
                <w:rFonts w:ascii="Arial" w:hAnsi="Arial" w:cs="Arial"/>
                <w:bCs/>
                <w:sz w:val="20"/>
              </w:rPr>
            </w:pPr>
            <w:r>
              <w:rPr>
                <w:rFonts w:ascii="Arial" w:hAnsi="Arial" w:cs="Arial"/>
                <w:bCs/>
                <w:sz w:val="20"/>
              </w:rPr>
              <w:t>Decrease</w:t>
            </w:r>
            <w:r w:rsidR="005E36E1" w:rsidRPr="007B342F">
              <w:rPr>
                <w:rFonts w:ascii="Arial" w:hAnsi="Arial" w:cs="Arial"/>
                <w:bCs/>
                <w:sz w:val="20"/>
              </w:rPr>
              <w:t xml:space="preserve"> a </w:t>
            </w:r>
            <w:r>
              <w:rPr>
                <w:rFonts w:ascii="Arial" w:hAnsi="Arial" w:cs="Arial"/>
                <w:bCs/>
                <w:sz w:val="20"/>
              </w:rPr>
              <w:t>short</w:t>
            </w:r>
            <w:r w:rsidR="005E36E1" w:rsidRPr="007B342F">
              <w:rPr>
                <w:rFonts w:ascii="Arial" w:hAnsi="Arial" w:cs="Arial"/>
                <w:bCs/>
                <w:sz w:val="20"/>
              </w:rPr>
              <w:t xml:space="preserve"> position</w:t>
            </w:r>
          </w:p>
        </w:tc>
        <w:tc>
          <w:tcPr>
            <w:tcW w:w="836" w:type="pct"/>
          </w:tcPr>
          <w:p w14:paraId="006529A9" w14:textId="7C7AF85D" w:rsidR="005E36E1" w:rsidRPr="007B342F" w:rsidRDefault="000313F4" w:rsidP="00CC3C22">
            <w:pPr>
              <w:jc w:val="center"/>
              <w:rPr>
                <w:rFonts w:ascii="Arial" w:hAnsi="Arial" w:cs="Arial"/>
                <w:bCs/>
                <w:sz w:val="20"/>
              </w:rPr>
            </w:pPr>
            <w:r>
              <w:rPr>
                <w:rFonts w:ascii="Arial" w:hAnsi="Arial" w:cs="Arial"/>
                <w:bCs/>
                <w:sz w:val="20"/>
              </w:rPr>
              <w:t>16,729</w:t>
            </w:r>
          </w:p>
        </w:tc>
        <w:tc>
          <w:tcPr>
            <w:tcW w:w="887" w:type="pct"/>
          </w:tcPr>
          <w:p w14:paraId="43FBEBF2" w14:textId="2F6C0374" w:rsidR="005E36E1" w:rsidRPr="007B342F" w:rsidRDefault="005E36E1" w:rsidP="00CC3C22">
            <w:pPr>
              <w:jc w:val="center"/>
              <w:rPr>
                <w:rFonts w:ascii="Arial" w:hAnsi="Arial" w:cs="Arial"/>
                <w:bCs/>
                <w:sz w:val="20"/>
              </w:rPr>
            </w:pPr>
            <w:r w:rsidRPr="007B342F">
              <w:rPr>
                <w:rFonts w:ascii="Arial" w:hAnsi="Arial" w:cs="Arial"/>
                <w:bCs/>
                <w:sz w:val="20"/>
              </w:rPr>
              <w:t>GBP1.0</w:t>
            </w:r>
            <w:r w:rsidR="00CA09E1">
              <w:rPr>
                <w:rFonts w:ascii="Arial" w:hAnsi="Arial" w:cs="Arial"/>
                <w:bCs/>
                <w:sz w:val="20"/>
              </w:rPr>
              <w:t>2289</w:t>
            </w:r>
          </w:p>
        </w:tc>
      </w:tr>
      <w:tr w:rsidR="00D51C07" w:rsidRPr="007B342F" w14:paraId="38D9FF56" w14:textId="77777777" w:rsidTr="00A74E4D">
        <w:tc>
          <w:tcPr>
            <w:tcW w:w="969" w:type="pct"/>
          </w:tcPr>
          <w:p w14:paraId="6E7C0DDD" w14:textId="0BD0E031" w:rsidR="00D51C07" w:rsidRPr="007B342F" w:rsidRDefault="00D51C07" w:rsidP="00CC3C22">
            <w:pPr>
              <w:jc w:val="center"/>
              <w:rPr>
                <w:rFonts w:ascii="Arial" w:hAnsi="Arial" w:cs="Arial"/>
                <w:bCs/>
                <w:sz w:val="20"/>
              </w:rPr>
            </w:pPr>
            <w:r w:rsidRPr="007B342F">
              <w:rPr>
                <w:rFonts w:ascii="Arial" w:hAnsi="Arial" w:cs="Arial"/>
                <w:bCs/>
                <w:sz w:val="20"/>
              </w:rPr>
              <w:t>Common</w:t>
            </w:r>
          </w:p>
        </w:tc>
        <w:tc>
          <w:tcPr>
            <w:tcW w:w="837" w:type="pct"/>
          </w:tcPr>
          <w:p w14:paraId="282CD2B2" w14:textId="239DBA35" w:rsidR="00D51C07" w:rsidRPr="007B342F" w:rsidRDefault="00D51C07" w:rsidP="00CC3C22">
            <w:pPr>
              <w:jc w:val="center"/>
              <w:rPr>
                <w:rFonts w:ascii="Arial" w:hAnsi="Arial" w:cs="Arial"/>
                <w:bCs/>
                <w:sz w:val="20"/>
              </w:rPr>
            </w:pPr>
            <w:r w:rsidRPr="007B342F">
              <w:rPr>
                <w:rFonts w:ascii="Arial" w:hAnsi="Arial" w:cs="Arial"/>
                <w:bCs/>
                <w:sz w:val="20"/>
              </w:rPr>
              <w:t xml:space="preserve">Swap </w:t>
            </w:r>
          </w:p>
        </w:tc>
        <w:tc>
          <w:tcPr>
            <w:tcW w:w="1470" w:type="pct"/>
          </w:tcPr>
          <w:p w14:paraId="5A9BB06F" w14:textId="0A9EB212" w:rsidR="00D51C07" w:rsidRPr="007B342F" w:rsidRDefault="006E3C51" w:rsidP="00CC3C22">
            <w:pPr>
              <w:jc w:val="center"/>
              <w:rPr>
                <w:rFonts w:ascii="Arial" w:hAnsi="Arial" w:cs="Arial"/>
                <w:bCs/>
                <w:sz w:val="20"/>
              </w:rPr>
            </w:pPr>
            <w:r>
              <w:rPr>
                <w:rFonts w:ascii="Arial" w:hAnsi="Arial" w:cs="Arial"/>
                <w:bCs/>
                <w:sz w:val="20"/>
              </w:rPr>
              <w:t>Decrease</w:t>
            </w:r>
            <w:r w:rsidR="00D51C07" w:rsidRPr="007B342F">
              <w:rPr>
                <w:rFonts w:ascii="Arial" w:hAnsi="Arial" w:cs="Arial"/>
                <w:bCs/>
                <w:sz w:val="20"/>
              </w:rPr>
              <w:t xml:space="preserve"> a </w:t>
            </w:r>
            <w:r>
              <w:rPr>
                <w:rFonts w:ascii="Arial" w:hAnsi="Arial" w:cs="Arial"/>
                <w:bCs/>
                <w:sz w:val="20"/>
              </w:rPr>
              <w:t>short</w:t>
            </w:r>
            <w:r w:rsidR="00D51C07" w:rsidRPr="007B342F">
              <w:rPr>
                <w:rFonts w:ascii="Arial" w:hAnsi="Arial" w:cs="Arial"/>
                <w:bCs/>
                <w:sz w:val="20"/>
              </w:rPr>
              <w:t xml:space="preserve"> position</w:t>
            </w:r>
          </w:p>
        </w:tc>
        <w:tc>
          <w:tcPr>
            <w:tcW w:w="836" w:type="pct"/>
          </w:tcPr>
          <w:p w14:paraId="21CC6DE4" w14:textId="0BB54657" w:rsidR="00D51C07" w:rsidRPr="007B342F" w:rsidRDefault="000313F4" w:rsidP="00CC3C22">
            <w:pPr>
              <w:jc w:val="center"/>
              <w:rPr>
                <w:rFonts w:ascii="Arial" w:hAnsi="Arial" w:cs="Arial"/>
                <w:bCs/>
                <w:sz w:val="20"/>
              </w:rPr>
            </w:pPr>
            <w:r>
              <w:rPr>
                <w:rFonts w:ascii="Arial" w:hAnsi="Arial" w:cs="Arial"/>
                <w:bCs/>
                <w:sz w:val="20"/>
              </w:rPr>
              <w:t>8,092</w:t>
            </w:r>
          </w:p>
        </w:tc>
        <w:tc>
          <w:tcPr>
            <w:tcW w:w="887" w:type="pct"/>
          </w:tcPr>
          <w:p w14:paraId="3AA075F5" w14:textId="5DCD49FD" w:rsidR="00D51C07" w:rsidRPr="007B342F" w:rsidRDefault="00D51C07" w:rsidP="00CC3C22">
            <w:pPr>
              <w:jc w:val="center"/>
              <w:rPr>
                <w:rFonts w:ascii="Arial" w:hAnsi="Arial" w:cs="Arial"/>
                <w:bCs/>
                <w:sz w:val="20"/>
              </w:rPr>
            </w:pPr>
            <w:r w:rsidRPr="007B342F">
              <w:rPr>
                <w:rFonts w:ascii="Arial" w:hAnsi="Arial" w:cs="Arial"/>
                <w:bCs/>
                <w:sz w:val="20"/>
              </w:rPr>
              <w:t>GBP</w:t>
            </w:r>
            <w:r w:rsidR="00535DFF">
              <w:rPr>
                <w:rFonts w:ascii="Arial" w:hAnsi="Arial" w:cs="Arial"/>
                <w:bCs/>
                <w:sz w:val="20"/>
              </w:rPr>
              <w:t>1.00</w:t>
            </w:r>
            <w:r w:rsidR="00CA09E1">
              <w:rPr>
                <w:rFonts w:ascii="Arial" w:hAnsi="Arial" w:cs="Arial"/>
                <w:bCs/>
                <w:sz w:val="20"/>
              </w:rPr>
              <w:t>590</w:t>
            </w:r>
          </w:p>
        </w:tc>
      </w:tr>
      <w:tr w:rsidR="00D51C07" w:rsidRPr="007B342F" w14:paraId="5878B558" w14:textId="77777777" w:rsidTr="00A74E4D">
        <w:tc>
          <w:tcPr>
            <w:tcW w:w="969" w:type="pct"/>
          </w:tcPr>
          <w:p w14:paraId="4D4D39DA" w14:textId="6D86D787" w:rsidR="00D51C07" w:rsidRPr="007B342F" w:rsidRDefault="00485E70" w:rsidP="00CC3C22">
            <w:pPr>
              <w:jc w:val="center"/>
              <w:rPr>
                <w:rFonts w:ascii="Arial" w:hAnsi="Arial" w:cs="Arial"/>
                <w:bCs/>
                <w:sz w:val="20"/>
              </w:rPr>
            </w:pPr>
            <w:r w:rsidRPr="007B342F">
              <w:rPr>
                <w:rFonts w:ascii="Arial" w:hAnsi="Arial" w:cs="Arial"/>
                <w:bCs/>
                <w:sz w:val="20"/>
              </w:rPr>
              <w:t>Common</w:t>
            </w:r>
          </w:p>
        </w:tc>
        <w:tc>
          <w:tcPr>
            <w:tcW w:w="837" w:type="pct"/>
          </w:tcPr>
          <w:p w14:paraId="26B13EFB" w14:textId="202B456D" w:rsidR="00D51C07" w:rsidRPr="007B342F" w:rsidRDefault="00485E70" w:rsidP="00CC3C22">
            <w:pPr>
              <w:jc w:val="center"/>
              <w:rPr>
                <w:rFonts w:ascii="Arial" w:hAnsi="Arial" w:cs="Arial"/>
                <w:bCs/>
                <w:sz w:val="20"/>
              </w:rPr>
            </w:pPr>
            <w:r w:rsidRPr="007B342F">
              <w:rPr>
                <w:rFonts w:ascii="Arial" w:hAnsi="Arial" w:cs="Arial"/>
                <w:bCs/>
                <w:sz w:val="20"/>
              </w:rPr>
              <w:t>Swap</w:t>
            </w:r>
          </w:p>
        </w:tc>
        <w:tc>
          <w:tcPr>
            <w:tcW w:w="1470" w:type="pct"/>
          </w:tcPr>
          <w:p w14:paraId="78C9F467" w14:textId="3BE31377" w:rsidR="00D51C07" w:rsidRPr="007B342F" w:rsidRDefault="006E3C51" w:rsidP="00CC3C22">
            <w:pPr>
              <w:jc w:val="center"/>
              <w:rPr>
                <w:rFonts w:ascii="Arial" w:hAnsi="Arial" w:cs="Arial"/>
                <w:bCs/>
                <w:sz w:val="20"/>
              </w:rPr>
            </w:pPr>
            <w:r>
              <w:rPr>
                <w:rFonts w:ascii="Arial" w:hAnsi="Arial" w:cs="Arial"/>
                <w:bCs/>
                <w:sz w:val="20"/>
              </w:rPr>
              <w:t>Decrease</w:t>
            </w:r>
            <w:r w:rsidRPr="007B342F">
              <w:rPr>
                <w:rFonts w:ascii="Arial" w:hAnsi="Arial" w:cs="Arial"/>
                <w:bCs/>
                <w:sz w:val="20"/>
              </w:rPr>
              <w:t xml:space="preserve"> a </w:t>
            </w:r>
            <w:r>
              <w:rPr>
                <w:rFonts w:ascii="Arial" w:hAnsi="Arial" w:cs="Arial"/>
                <w:bCs/>
                <w:sz w:val="20"/>
              </w:rPr>
              <w:t>short</w:t>
            </w:r>
            <w:r w:rsidRPr="007B342F">
              <w:rPr>
                <w:rFonts w:ascii="Arial" w:hAnsi="Arial" w:cs="Arial"/>
                <w:bCs/>
                <w:sz w:val="20"/>
              </w:rPr>
              <w:t xml:space="preserve"> position</w:t>
            </w:r>
          </w:p>
        </w:tc>
        <w:tc>
          <w:tcPr>
            <w:tcW w:w="836" w:type="pct"/>
          </w:tcPr>
          <w:p w14:paraId="76B20FB9" w14:textId="305EEF74" w:rsidR="00D51C07" w:rsidRPr="007B342F" w:rsidRDefault="000313F4" w:rsidP="00CC3C22">
            <w:pPr>
              <w:jc w:val="center"/>
              <w:rPr>
                <w:rFonts w:ascii="Arial" w:hAnsi="Arial" w:cs="Arial"/>
                <w:bCs/>
                <w:sz w:val="20"/>
              </w:rPr>
            </w:pPr>
            <w:r>
              <w:rPr>
                <w:rFonts w:ascii="Arial" w:hAnsi="Arial" w:cs="Arial"/>
                <w:bCs/>
                <w:sz w:val="20"/>
              </w:rPr>
              <w:t>2,058</w:t>
            </w:r>
          </w:p>
        </w:tc>
        <w:tc>
          <w:tcPr>
            <w:tcW w:w="887" w:type="pct"/>
          </w:tcPr>
          <w:p w14:paraId="2812133C" w14:textId="279C4860" w:rsidR="00D51C07" w:rsidRPr="007B342F" w:rsidRDefault="00485E70" w:rsidP="00CC3C22">
            <w:pPr>
              <w:jc w:val="center"/>
              <w:rPr>
                <w:rFonts w:ascii="Arial" w:hAnsi="Arial" w:cs="Arial"/>
                <w:bCs/>
                <w:sz w:val="20"/>
              </w:rPr>
            </w:pPr>
            <w:r w:rsidRPr="007B342F">
              <w:rPr>
                <w:rFonts w:ascii="Arial" w:hAnsi="Arial" w:cs="Arial"/>
                <w:bCs/>
                <w:sz w:val="20"/>
              </w:rPr>
              <w:t>GBP1.</w:t>
            </w:r>
            <w:r w:rsidR="00535DFF">
              <w:rPr>
                <w:rFonts w:ascii="Arial" w:hAnsi="Arial" w:cs="Arial"/>
                <w:bCs/>
                <w:sz w:val="20"/>
              </w:rPr>
              <w:t>0</w:t>
            </w:r>
            <w:r w:rsidR="00CA09E1">
              <w:rPr>
                <w:rFonts w:ascii="Arial" w:hAnsi="Arial" w:cs="Arial"/>
                <w:bCs/>
                <w:sz w:val="20"/>
              </w:rPr>
              <w:t>2207</w:t>
            </w:r>
          </w:p>
        </w:tc>
      </w:tr>
      <w:tr w:rsidR="00485E70" w:rsidRPr="007B342F" w14:paraId="0BBBFA11" w14:textId="77777777" w:rsidTr="00A74E4D">
        <w:tc>
          <w:tcPr>
            <w:tcW w:w="969" w:type="pct"/>
          </w:tcPr>
          <w:p w14:paraId="76307FA9" w14:textId="6E92FDBA" w:rsidR="00485E70" w:rsidRPr="007B342F" w:rsidRDefault="00485E70" w:rsidP="00CC3C22">
            <w:pPr>
              <w:jc w:val="center"/>
              <w:rPr>
                <w:rFonts w:ascii="Arial" w:hAnsi="Arial" w:cs="Arial"/>
                <w:bCs/>
                <w:sz w:val="20"/>
              </w:rPr>
            </w:pPr>
            <w:r w:rsidRPr="007B342F">
              <w:rPr>
                <w:rFonts w:ascii="Arial" w:hAnsi="Arial" w:cs="Arial"/>
                <w:bCs/>
                <w:sz w:val="20"/>
              </w:rPr>
              <w:t xml:space="preserve">Common </w:t>
            </w:r>
          </w:p>
        </w:tc>
        <w:tc>
          <w:tcPr>
            <w:tcW w:w="837" w:type="pct"/>
          </w:tcPr>
          <w:p w14:paraId="3D9E64D7" w14:textId="07EBDB34" w:rsidR="00485E70" w:rsidRPr="007B342F" w:rsidRDefault="00485E70" w:rsidP="00CC3C22">
            <w:pPr>
              <w:jc w:val="center"/>
              <w:rPr>
                <w:rFonts w:ascii="Arial" w:hAnsi="Arial" w:cs="Arial"/>
                <w:bCs/>
                <w:sz w:val="20"/>
              </w:rPr>
            </w:pPr>
            <w:r w:rsidRPr="007B342F">
              <w:rPr>
                <w:rFonts w:ascii="Arial" w:hAnsi="Arial" w:cs="Arial"/>
                <w:bCs/>
                <w:sz w:val="20"/>
              </w:rPr>
              <w:t>Swap</w:t>
            </w:r>
          </w:p>
        </w:tc>
        <w:tc>
          <w:tcPr>
            <w:tcW w:w="1470" w:type="pct"/>
          </w:tcPr>
          <w:p w14:paraId="008F5C0F" w14:textId="5974AE3D" w:rsidR="00485E70" w:rsidRPr="007B342F" w:rsidRDefault="006E3C51" w:rsidP="00CC3C22">
            <w:pPr>
              <w:jc w:val="center"/>
              <w:rPr>
                <w:rFonts w:ascii="Arial" w:hAnsi="Arial" w:cs="Arial"/>
                <w:bCs/>
                <w:sz w:val="20"/>
              </w:rPr>
            </w:pPr>
            <w:r>
              <w:rPr>
                <w:rFonts w:ascii="Arial" w:hAnsi="Arial" w:cs="Arial"/>
                <w:bCs/>
                <w:sz w:val="20"/>
              </w:rPr>
              <w:t>Decrease</w:t>
            </w:r>
            <w:r w:rsidRPr="007B342F">
              <w:rPr>
                <w:rFonts w:ascii="Arial" w:hAnsi="Arial" w:cs="Arial"/>
                <w:bCs/>
                <w:sz w:val="20"/>
              </w:rPr>
              <w:t xml:space="preserve"> a </w:t>
            </w:r>
            <w:r>
              <w:rPr>
                <w:rFonts w:ascii="Arial" w:hAnsi="Arial" w:cs="Arial"/>
                <w:bCs/>
                <w:sz w:val="20"/>
              </w:rPr>
              <w:t>short</w:t>
            </w:r>
            <w:r w:rsidRPr="007B342F">
              <w:rPr>
                <w:rFonts w:ascii="Arial" w:hAnsi="Arial" w:cs="Arial"/>
                <w:bCs/>
                <w:sz w:val="20"/>
              </w:rPr>
              <w:t xml:space="preserve"> position</w:t>
            </w:r>
          </w:p>
        </w:tc>
        <w:tc>
          <w:tcPr>
            <w:tcW w:w="836" w:type="pct"/>
          </w:tcPr>
          <w:p w14:paraId="16CB57A9" w14:textId="450ECFD9" w:rsidR="00485E70" w:rsidRPr="007B342F" w:rsidRDefault="000313F4" w:rsidP="00CC3C22">
            <w:pPr>
              <w:jc w:val="center"/>
              <w:rPr>
                <w:rFonts w:ascii="Arial" w:hAnsi="Arial" w:cs="Arial"/>
                <w:bCs/>
                <w:sz w:val="20"/>
              </w:rPr>
            </w:pPr>
            <w:r>
              <w:rPr>
                <w:rFonts w:ascii="Arial" w:hAnsi="Arial" w:cs="Arial"/>
                <w:bCs/>
                <w:sz w:val="20"/>
              </w:rPr>
              <w:t>985</w:t>
            </w:r>
          </w:p>
        </w:tc>
        <w:tc>
          <w:tcPr>
            <w:tcW w:w="887" w:type="pct"/>
          </w:tcPr>
          <w:p w14:paraId="11EEA852" w14:textId="31916012" w:rsidR="00485E70" w:rsidRPr="007B342F" w:rsidRDefault="007B342F" w:rsidP="00CC3C22">
            <w:pPr>
              <w:jc w:val="center"/>
              <w:rPr>
                <w:rFonts w:ascii="Arial" w:hAnsi="Arial" w:cs="Arial"/>
                <w:bCs/>
                <w:sz w:val="20"/>
              </w:rPr>
            </w:pPr>
            <w:r w:rsidRPr="007B342F">
              <w:rPr>
                <w:rFonts w:ascii="Arial" w:hAnsi="Arial" w:cs="Arial"/>
                <w:bCs/>
                <w:sz w:val="20"/>
              </w:rPr>
              <w:t>GBP</w:t>
            </w:r>
            <w:r w:rsidR="00A94DB1">
              <w:rPr>
                <w:rFonts w:ascii="Arial" w:hAnsi="Arial" w:cs="Arial"/>
                <w:bCs/>
                <w:sz w:val="20"/>
              </w:rPr>
              <w:t>1.00</w:t>
            </w:r>
            <w:r w:rsidR="00CA09E1">
              <w:rPr>
                <w:rFonts w:ascii="Arial" w:hAnsi="Arial" w:cs="Arial"/>
                <w:bCs/>
                <w:sz w:val="20"/>
              </w:rPr>
              <w:t>603</w:t>
            </w:r>
          </w:p>
        </w:tc>
      </w:tr>
      <w:tr w:rsidR="006E3C51" w:rsidRPr="007B342F" w14:paraId="2906BA1E" w14:textId="77777777" w:rsidTr="00A74E4D">
        <w:tc>
          <w:tcPr>
            <w:tcW w:w="969" w:type="pct"/>
          </w:tcPr>
          <w:p w14:paraId="12EBF6BD" w14:textId="18C2F34E" w:rsidR="006E3C51" w:rsidRPr="007B342F" w:rsidRDefault="006E3C51" w:rsidP="006E3C51">
            <w:pPr>
              <w:jc w:val="center"/>
              <w:rPr>
                <w:rFonts w:ascii="Arial" w:hAnsi="Arial" w:cs="Arial"/>
                <w:bCs/>
                <w:sz w:val="20"/>
              </w:rPr>
            </w:pPr>
            <w:r>
              <w:rPr>
                <w:rFonts w:ascii="Arial" w:hAnsi="Arial" w:cs="Arial"/>
                <w:bCs/>
                <w:sz w:val="20"/>
              </w:rPr>
              <w:t>Common</w:t>
            </w:r>
          </w:p>
        </w:tc>
        <w:tc>
          <w:tcPr>
            <w:tcW w:w="837" w:type="pct"/>
          </w:tcPr>
          <w:p w14:paraId="01656A95" w14:textId="79AB29F4" w:rsidR="006E3C51" w:rsidRPr="007B342F" w:rsidRDefault="006E3C51" w:rsidP="006E3C51">
            <w:pPr>
              <w:jc w:val="center"/>
              <w:rPr>
                <w:rFonts w:ascii="Arial" w:hAnsi="Arial" w:cs="Arial"/>
                <w:bCs/>
                <w:sz w:val="20"/>
              </w:rPr>
            </w:pPr>
            <w:r>
              <w:rPr>
                <w:rFonts w:ascii="Arial" w:hAnsi="Arial" w:cs="Arial"/>
                <w:bCs/>
                <w:sz w:val="20"/>
              </w:rPr>
              <w:t>Swap</w:t>
            </w:r>
          </w:p>
        </w:tc>
        <w:tc>
          <w:tcPr>
            <w:tcW w:w="1470" w:type="pct"/>
          </w:tcPr>
          <w:p w14:paraId="2AB69944" w14:textId="6C4D332C" w:rsidR="006E3C51" w:rsidRPr="007B342F" w:rsidRDefault="006E3C51" w:rsidP="006E3C51">
            <w:pPr>
              <w:jc w:val="center"/>
              <w:rPr>
                <w:rFonts w:ascii="Arial" w:hAnsi="Arial" w:cs="Arial"/>
                <w:bCs/>
                <w:sz w:val="20"/>
              </w:rPr>
            </w:pPr>
            <w:r>
              <w:rPr>
                <w:rFonts w:ascii="Arial" w:hAnsi="Arial" w:cs="Arial"/>
                <w:bCs/>
                <w:sz w:val="20"/>
              </w:rPr>
              <w:t>Decrease</w:t>
            </w:r>
            <w:r w:rsidRPr="007B342F">
              <w:rPr>
                <w:rFonts w:ascii="Arial" w:hAnsi="Arial" w:cs="Arial"/>
                <w:bCs/>
                <w:sz w:val="20"/>
              </w:rPr>
              <w:t xml:space="preserve"> a </w:t>
            </w:r>
            <w:r>
              <w:rPr>
                <w:rFonts w:ascii="Arial" w:hAnsi="Arial" w:cs="Arial"/>
                <w:bCs/>
                <w:sz w:val="20"/>
              </w:rPr>
              <w:t>short</w:t>
            </w:r>
            <w:r w:rsidRPr="007B342F">
              <w:rPr>
                <w:rFonts w:ascii="Arial" w:hAnsi="Arial" w:cs="Arial"/>
                <w:bCs/>
                <w:sz w:val="20"/>
              </w:rPr>
              <w:t xml:space="preserve"> position</w:t>
            </w:r>
          </w:p>
        </w:tc>
        <w:tc>
          <w:tcPr>
            <w:tcW w:w="836" w:type="pct"/>
          </w:tcPr>
          <w:p w14:paraId="3A2295F4" w14:textId="6606DE55" w:rsidR="006E3C51" w:rsidRDefault="000313F4" w:rsidP="006E3C51">
            <w:pPr>
              <w:jc w:val="center"/>
              <w:rPr>
                <w:rFonts w:ascii="Arial" w:hAnsi="Arial" w:cs="Arial"/>
                <w:bCs/>
                <w:sz w:val="20"/>
              </w:rPr>
            </w:pPr>
            <w:r>
              <w:rPr>
                <w:rFonts w:ascii="Arial" w:hAnsi="Arial" w:cs="Arial"/>
                <w:bCs/>
                <w:sz w:val="20"/>
              </w:rPr>
              <w:t>1,010</w:t>
            </w:r>
          </w:p>
        </w:tc>
        <w:tc>
          <w:tcPr>
            <w:tcW w:w="887" w:type="pct"/>
          </w:tcPr>
          <w:p w14:paraId="5BDF8539" w14:textId="311F5A2C" w:rsidR="006E3C51" w:rsidRPr="007B342F" w:rsidRDefault="006E3C51" w:rsidP="006E3C51">
            <w:pPr>
              <w:jc w:val="center"/>
              <w:rPr>
                <w:rFonts w:ascii="Arial" w:hAnsi="Arial" w:cs="Arial"/>
                <w:bCs/>
                <w:sz w:val="20"/>
              </w:rPr>
            </w:pPr>
            <w:r w:rsidRPr="007B342F">
              <w:rPr>
                <w:rFonts w:ascii="Arial" w:hAnsi="Arial" w:cs="Arial"/>
                <w:bCs/>
                <w:sz w:val="20"/>
              </w:rPr>
              <w:t>GBP</w:t>
            </w:r>
            <w:r>
              <w:rPr>
                <w:rFonts w:ascii="Arial" w:hAnsi="Arial" w:cs="Arial"/>
                <w:bCs/>
                <w:sz w:val="20"/>
              </w:rPr>
              <w:t>1.00</w:t>
            </w:r>
            <w:r w:rsidR="00CA09E1">
              <w:rPr>
                <w:rFonts w:ascii="Arial" w:hAnsi="Arial" w:cs="Arial"/>
                <w:bCs/>
                <w:sz w:val="20"/>
              </w:rPr>
              <w:t>206</w:t>
            </w:r>
          </w:p>
        </w:tc>
      </w:tr>
      <w:tr w:rsidR="006E3C51" w:rsidRPr="007B342F" w14:paraId="40F11183" w14:textId="77777777" w:rsidTr="00A74E4D">
        <w:tc>
          <w:tcPr>
            <w:tcW w:w="969" w:type="pct"/>
          </w:tcPr>
          <w:p w14:paraId="151B48ED" w14:textId="5DAFD6D2" w:rsidR="006E3C51" w:rsidRPr="007B342F" w:rsidRDefault="006E3C51" w:rsidP="006E3C51">
            <w:pPr>
              <w:jc w:val="center"/>
              <w:rPr>
                <w:rFonts w:ascii="Arial" w:hAnsi="Arial" w:cs="Arial"/>
                <w:bCs/>
                <w:sz w:val="20"/>
              </w:rPr>
            </w:pPr>
            <w:r>
              <w:rPr>
                <w:rFonts w:ascii="Arial" w:hAnsi="Arial" w:cs="Arial"/>
                <w:bCs/>
                <w:sz w:val="20"/>
              </w:rPr>
              <w:t xml:space="preserve">Common </w:t>
            </w:r>
          </w:p>
        </w:tc>
        <w:tc>
          <w:tcPr>
            <w:tcW w:w="837" w:type="pct"/>
          </w:tcPr>
          <w:p w14:paraId="52C96844" w14:textId="3438034A" w:rsidR="006E3C51" w:rsidRPr="007B342F" w:rsidRDefault="006E3C51" w:rsidP="006E3C51">
            <w:pPr>
              <w:jc w:val="center"/>
              <w:rPr>
                <w:rFonts w:ascii="Arial" w:hAnsi="Arial" w:cs="Arial"/>
                <w:bCs/>
                <w:sz w:val="20"/>
              </w:rPr>
            </w:pPr>
            <w:r>
              <w:rPr>
                <w:rFonts w:ascii="Arial" w:hAnsi="Arial" w:cs="Arial"/>
                <w:bCs/>
                <w:sz w:val="20"/>
              </w:rPr>
              <w:t>Swap</w:t>
            </w:r>
          </w:p>
        </w:tc>
        <w:tc>
          <w:tcPr>
            <w:tcW w:w="1470" w:type="pct"/>
          </w:tcPr>
          <w:p w14:paraId="13B1CD13" w14:textId="68B11718" w:rsidR="006E3C51" w:rsidRPr="007B342F" w:rsidRDefault="006E3C51" w:rsidP="006E3C51">
            <w:pPr>
              <w:jc w:val="center"/>
              <w:rPr>
                <w:rFonts w:ascii="Arial" w:hAnsi="Arial" w:cs="Arial"/>
                <w:bCs/>
                <w:sz w:val="20"/>
              </w:rPr>
            </w:pPr>
            <w:r>
              <w:rPr>
                <w:rFonts w:ascii="Arial" w:hAnsi="Arial" w:cs="Arial"/>
                <w:bCs/>
                <w:sz w:val="20"/>
              </w:rPr>
              <w:t>Decrease</w:t>
            </w:r>
            <w:r w:rsidRPr="007B342F">
              <w:rPr>
                <w:rFonts w:ascii="Arial" w:hAnsi="Arial" w:cs="Arial"/>
                <w:bCs/>
                <w:sz w:val="20"/>
              </w:rPr>
              <w:t xml:space="preserve"> a </w:t>
            </w:r>
            <w:r>
              <w:rPr>
                <w:rFonts w:ascii="Arial" w:hAnsi="Arial" w:cs="Arial"/>
                <w:bCs/>
                <w:sz w:val="20"/>
              </w:rPr>
              <w:t>short</w:t>
            </w:r>
            <w:r w:rsidRPr="007B342F">
              <w:rPr>
                <w:rFonts w:ascii="Arial" w:hAnsi="Arial" w:cs="Arial"/>
                <w:bCs/>
                <w:sz w:val="20"/>
              </w:rPr>
              <w:t xml:space="preserve"> position</w:t>
            </w:r>
          </w:p>
        </w:tc>
        <w:tc>
          <w:tcPr>
            <w:tcW w:w="836" w:type="pct"/>
          </w:tcPr>
          <w:p w14:paraId="2715199C" w14:textId="4C6753E4" w:rsidR="006E3C51" w:rsidRDefault="000313F4" w:rsidP="006E3C51">
            <w:pPr>
              <w:jc w:val="center"/>
              <w:rPr>
                <w:rFonts w:ascii="Arial" w:hAnsi="Arial" w:cs="Arial"/>
                <w:bCs/>
                <w:sz w:val="20"/>
              </w:rPr>
            </w:pPr>
            <w:r>
              <w:rPr>
                <w:rFonts w:ascii="Arial" w:hAnsi="Arial" w:cs="Arial"/>
                <w:bCs/>
                <w:sz w:val="20"/>
              </w:rPr>
              <w:t>8,211</w:t>
            </w:r>
          </w:p>
        </w:tc>
        <w:tc>
          <w:tcPr>
            <w:tcW w:w="887" w:type="pct"/>
          </w:tcPr>
          <w:p w14:paraId="6F8448FD" w14:textId="1AD31657" w:rsidR="006E3C51" w:rsidRPr="007B342F" w:rsidRDefault="006E3C51" w:rsidP="006E3C51">
            <w:pPr>
              <w:jc w:val="center"/>
              <w:rPr>
                <w:rFonts w:ascii="Arial" w:hAnsi="Arial" w:cs="Arial"/>
                <w:bCs/>
                <w:sz w:val="20"/>
              </w:rPr>
            </w:pPr>
            <w:r w:rsidRPr="007B342F">
              <w:rPr>
                <w:rFonts w:ascii="Arial" w:hAnsi="Arial" w:cs="Arial"/>
                <w:bCs/>
                <w:sz w:val="20"/>
              </w:rPr>
              <w:t>GBP</w:t>
            </w:r>
            <w:r>
              <w:rPr>
                <w:rFonts w:ascii="Arial" w:hAnsi="Arial" w:cs="Arial"/>
                <w:bCs/>
                <w:sz w:val="20"/>
              </w:rPr>
              <w:t>1.00</w:t>
            </w:r>
            <w:r w:rsidR="00CA09E1">
              <w:rPr>
                <w:rFonts w:ascii="Arial" w:hAnsi="Arial" w:cs="Arial"/>
                <w:bCs/>
                <w:sz w:val="20"/>
              </w:rPr>
              <w:t>154</w:t>
            </w: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245E4C"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31DC6595" w:rsidR="00CC3C22" w:rsidRDefault="00B9549F"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35EC2432" w:rsidR="00CC3C22" w:rsidRDefault="00B9549F"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12B01D24" w:rsidR="00CC3C22" w:rsidRPr="007148AC" w:rsidRDefault="007148AC" w:rsidP="007148AC">
            <w:pPr>
              <w:rPr>
                <w:rFonts w:ascii="Arial" w:hAnsi="Arial" w:cs="Arial"/>
                <w:iCs/>
                <w:sz w:val="20"/>
              </w:rPr>
            </w:pPr>
            <w:r>
              <w:rPr>
                <w:rFonts w:ascii="Arial" w:hAnsi="Arial" w:cs="Arial"/>
                <w:iCs/>
                <w:sz w:val="20"/>
              </w:rPr>
              <w:t>N</w:t>
            </w:r>
            <w:r w:rsidR="005B7EE5">
              <w:rPr>
                <w:rFonts w:ascii="Arial" w:hAnsi="Arial" w:cs="Arial"/>
                <w:iCs/>
                <w:sz w:val="20"/>
              </w:rPr>
              <w:t>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077596A7" w:rsidR="00CC3C22" w:rsidRPr="009E223E" w:rsidRDefault="000313F4" w:rsidP="00CC3C22">
            <w:pPr>
              <w:jc w:val="left"/>
              <w:rPr>
                <w:rFonts w:ascii="Arial" w:hAnsi="Arial" w:cs="Arial"/>
                <w:b/>
                <w:sz w:val="20"/>
              </w:rPr>
            </w:pPr>
            <w:r>
              <w:rPr>
                <w:sz w:val="20"/>
              </w:rPr>
              <w:t>01</w:t>
            </w:r>
            <w:r w:rsidR="00CC3C22">
              <w:rPr>
                <w:sz w:val="20"/>
              </w:rPr>
              <w:t>/0</w:t>
            </w:r>
            <w:r>
              <w:rPr>
                <w:sz w:val="20"/>
              </w:rPr>
              <w:t>5</w:t>
            </w:r>
            <w:r w:rsidR="00CC3C22">
              <w:rPr>
                <w:sz w:val="20"/>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74764A39" w:rsidR="00CC3C22" w:rsidRPr="009E223E" w:rsidRDefault="002D1B52" w:rsidP="00CC3C22">
            <w:pPr>
              <w:jc w:val="left"/>
              <w:rPr>
                <w:rFonts w:ascii="Arial" w:hAnsi="Arial" w:cs="Arial"/>
                <w:b/>
                <w:sz w:val="20"/>
              </w:rPr>
            </w:pPr>
            <w:r>
              <w:rPr>
                <w:sz w:val="20"/>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3A0C8BD2" w:rsidR="00CC3C22" w:rsidRPr="009E223E" w:rsidRDefault="00CC3C22" w:rsidP="00CC3C22">
            <w:pPr>
              <w:jc w:val="left"/>
              <w:rPr>
                <w:rFonts w:ascii="Arial" w:hAnsi="Arial" w:cs="Arial"/>
                <w:b/>
                <w:sz w:val="20"/>
              </w:rPr>
            </w:pPr>
            <w:r>
              <w:rPr>
                <w:sz w:val="20"/>
              </w:rPr>
              <w:t>847-905-</w:t>
            </w:r>
            <w:r w:rsidR="002D1B52">
              <w:rPr>
                <w:sz w:val="20"/>
              </w:rPr>
              <w:t>4688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DC17" w14:textId="77777777" w:rsidR="008E1EC2" w:rsidRDefault="008E1EC2">
      <w:r>
        <w:separator/>
      </w:r>
    </w:p>
  </w:endnote>
  <w:endnote w:type="continuationSeparator" w:id="0">
    <w:p w14:paraId="41BC19D0" w14:textId="77777777" w:rsidR="008E1EC2" w:rsidRDefault="008E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006F" w14:textId="77777777" w:rsidR="008E1EC2" w:rsidRDefault="008E1EC2">
      <w:r>
        <w:separator/>
      </w:r>
    </w:p>
  </w:footnote>
  <w:footnote w:type="continuationSeparator" w:id="0">
    <w:p w14:paraId="42C1FC63" w14:textId="77777777" w:rsidR="008E1EC2" w:rsidRDefault="008E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313F4"/>
    <w:rsid w:val="00042557"/>
    <w:rsid w:val="00043469"/>
    <w:rsid w:val="00047291"/>
    <w:rsid w:val="00063949"/>
    <w:rsid w:val="000775D6"/>
    <w:rsid w:val="000A4C99"/>
    <w:rsid w:val="000C6CFB"/>
    <w:rsid w:val="000C7D3C"/>
    <w:rsid w:val="000E2EC8"/>
    <w:rsid w:val="00131265"/>
    <w:rsid w:val="00141CD0"/>
    <w:rsid w:val="001571B0"/>
    <w:rsid w:val="001709FB"/>
    <w:rsid w:val="001711A6"/>
    <w:rsid w:val="00174DDC"/>
    <w:rsid w:val="00177139"/>
    <w:rsid w:val="00193DC0"/>
    <w:rsid w:val="00195A6A"/>
    <w:rsid w:val="001D1AF9"/>
    <w:rsid w:val="001E7799"/>
    <w:rsid w:val="0021110A"/>
    <w:rsid w:val="0023417B"/>
    <w:rsid w:val="00234D19"/>
    <w:rsid w:val="00235303"/>
    <w:rsid w:val="00245E4C"/>
    <w:rsid w:val="00246844"/>
    <w:rsid w:val="00247230"/>
    <w:rsid w:val="0025532D"/>
    <w:rsid w:val="00261F35"/>
    <w:rsid w:val="0027112C"/>
    <w:rsid w:val="002A0203"/>
    <w:rsid w:val="002A735D"/>
    <w:rsid w:val="002C6EF1"/>
    <w:rsid w:val="002D1B52"/>
    <w:rsid w:val="002E666D"/>
    <w:rsid w:val="002F10D2"/>
    <w:rsid w:val="002F6208"/>
    <w:rsid w:val="002F7986"/>
    <w:rsid w:val="003043BD"/>
    <w:rsid w:val="00305B74"/>
    <w:rsid w:val="0030605E"/>
    <w:rsid w:val="00322DF2"/>
    <w:rsid w:val="0032302C"/>
    <w:rsid w:val="00331EC4"/>
    <w:rsid w:val="0033256D"/>
    <w:rsid w:val="003367B2"/>
    <w:rsid w:val="00386AA2"/>
    <w:rsid w:val="003D027B"/>
    <w:rsid w:val="003D52F3"/>
    <w:rsid w:val="003E0CB4"/>
    <w:rsid w:val="00433F13"/>
    <w:rsid w:val="0045170C"/>
    <w:rsid w:val="00476FB2"/>
    <w:rsid w:val="004852FC"/>
    <w:rsid w:val="00485E70"/>
    <w:rsid w:val="004865DB"/>
    <w:rsid w:val="004C3BDF"/>
    <w:rsid w:val="004D0E36"/>
    <w:rsid w:val="004F0BAF"/>
    <w:rsid w:val="0053506D"/>
    <w:rsid w:val="00535DFF"/>
    <w:rsid w:val="00545668"/>
    <w:rsid w:val="005502A7"/>
    <w:rsid w:val="005515B4"/>
    <w:rsid w:val="00555905"/>
    <w:rsid w:val="005970E3"/>
    <w:rsid w:val="005A66BF"/>
    <w:rsid w:val="005B0FFE"/>
    <w:rsid w:val="005B7EE5"/>
    <w:rsid w:val="005E36E1"/>
    <w:rsid w:val="005E3F93"/>
    <w:rsid w:val="005F570C"/>
    <w:rsid w:val="00610C99"/>
    <w:rsid w:val="00613C4A"/>
    <w:rsid w:val="00624478"/>
    <w:rsid w:val="00634BB0"/>
    <w:rsid w:val="00646D3C"/>
    <w:rsid w:val="006524F5"/>
    <w:rsid w:val="006774B0"/>
    <w:rsid w:val="0069097B"/>
    <w:rsid w:val="006D0163"/>
    <w:rsid w:val="006E3C51"/>
    <w:rsid w:val="006F2726"/>
    <w:rsid w:val="00701073"/>
    <w:rsid w:val="00714880"/>
    <w:rsid w:val="007148AC"/>
    <w:rsid w:val="0073383F"/>
    <w:rsid w:val="007451DF"/>
    <w:rsid w:val="00745793"/>
    <w:rsid w:val="0075135F"/>
    <w:rsid w:val="0076096B"/>
    <w:rsid w:val="00761466"/>
    <w:rsid w:val="00765537"/>
    <w:rsid w:val="00767AE0"/>
    <w:rsid w:val="00780661"/>
    <w:rsid w:val="00782126"/>
    <w:rsid w:val="00786196"/>
    <w:rsid w:val="007B342F"/>
    <w:rsid w:val="007F0BBA"/>
    <w:rsid w:val="0084055B"/>
    <w:rsid w:val="00865D26"/>
    <w:rsid w:val="008B7D1F"/>
    <w:rsid w:val="008E1EC2"/>
    <w:rsid w:val="008E3F97"/>
    <w:rsid w:val="0091547F"/>
    <w:rsid w:val="009423F5"/>
    <w:rsid w:val="009902F1"/>
    <w:rsid w:val="009C7DF7"/>
    <w:rsid w:val="009D2FA7"/>
    <w:rsid w:val="009D30BD"/>
    <w:rsid w:val="009D45B5"/>
    <w:rsid w:val="009F177F"/>
    <w:rsid w:val="009F2308"/>
    <w:rsid w:val="00A031BC"/>
    <w:rsid w:val="00A252BE"/>
    <w:rsid w:val="00A304E4"/>
    <w:rsid w:val="00A3562C"/>
    <w:rsid w:val="00A52EFA"/>
    <w:rsid w:val="00A7141A"/>
    <w:rsid w:val="00A74E4D"/>
    <w:rsid w:val="00A94DB1"/>
    <w:rsid w:val="00AA49E7"/>
    <w:rsid w:val="00AB2F0B"/>
    <w:rsid w:val="00AD3E07"/>
    <w:rsid w:val="00AE67DD"/>
    <w:rsid w:val="00AF5B1C"/>
    <w:rsid w:val="00B10645"/>
    <w:rsid w:val="00B12BDC"/>
    <w:rsid w:val="00B27876"/>
    <w:rsid w:val="00B45CF1"/>
    <w:rsid w:val="00B52BD4"/>
    <w:rsid w:val="00B72E63"/>
    <w:rsid w:val="00B9549F"/>
    <w:rsid w:val="00BA7EC6"/>
    <w:rsid w:val="00BB2CAE"/>
    <w:rsid w:val="00BE3499"/>
    <w:rsid w:val="00BE7242"/>
    <w:rsid w:val="00BF6BBA"/>
    <w:rsid w:val="00C10832"/>
    <w:rsid w:val="00C1118F"/>
    <w:rsid w:val="00C17052"/>
    <w:rsid w:val="00C20DBE"/>
    <w:rsid w:val="00C5069D"/>
    <w:rsid w:val="00C54D42"/>
    <w:rsid w:val="00C7696B"/>
    <w:rsid w:val="00C813A6"/>
    <w:rsid w:val="00C841F0"/>
    <w:rsid w:val="00CA09E1"/>
    <w:rsid w:val="00CA1F59"/>
    <w:rsid w:val="00CB4398"/>
    <w:rsid w:val="00CC3C22"/>
    <w:rsid w:val="00CD4272"/>
    <w:rsid w:val="00CE0AFF"/>
    <w:rsid w:val="00CE1AD9"/>
    <w:rsid w:val="00D05BD8"/>
    <w:rsid w:val="00D05C50"/>
    <w:rsid w:val="00D32AC0"/>
    <w:rsid w:val="00D4375E"/>
    <w:rsid w:val="00D43DBC"/>
    <w:rsid w:val="00D51C07"/>
    <w:rsid w:val="00DB6FB7"/>
    <w:rsid w:val="00DB7F60"/>
    <w:rsid w:val="00DD5CCF"/>
    <w:rsid w:val="00E00BC0"/>
    <w:rsid w:val="00E135CF"/>
    <w:rsid w:val="00E171E7"/>
    <w:rsid w:val="00E409B0"/>
    <w:rsid w:val="00E4155C"/>
    <w:rsid w:val="00E5503C"/>
    <w:rsid w:val="00E6488D"/>
    <w:rsid w:val="00E80E30"/>
    <w:rsid w:val="00EC0DAB"/>
    <w:rsid w:val="00EF7D46"/>
    <w:rsid w:val="00F1379F"/>
    <w:rsid w:val="00F310CE"/>
    <w:rsid w:val="00F448FC"/>
    <w:rsid w:val="00F61733"/>
    <w:rsid w:val="00F761AA"/>
    <w:rsid w:val="00F77137"/>
    <w:rsid w:val="00F8609D"/>
    <w:rsid w:val="00F92D58"/>
    <w:rsid w:val="00F96592"/>
    <w:rsid w:val="00FA05E9"/>
    <w:rsid w:val="00FA23BB"/>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5</TotalTime>
  <Pages>3</Pages>
  <Words>831</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5661</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4</cp:revision>
  <cp:lastPrinted>2014-06-20T15:36:00Z</cp:lastPrinted>
  <dcterms:created xsi:type="dcterms:W3CDTF">2025-04-30T18:27:00Z</dcterms:created>
  <dcterms:modified xsi:type="dcterms:W3CDTF">2025-04-30T18:29:00Z</dcterms:modified>
</cp:coreProperties>
</file>