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8251D"/>
          <w:sz w:val="36"/>
          <w:szCs w:val="36"/>
        </w:rPr>
        <w:t xml:space="preserve">KLAGE TIL ADVOKATNÆVNET</w:t>
      </w:r>
    </w:p>
    <w:p>
      <w:pPr>
        <w:spacing w:after="80"/>
        <w:jc w:val="center"/>
      </w:pPr>
      <w:r>
        <w:rPr>
          <w:rFonts w:ascii="Arial" w:cs="Arial" w:eastAsia="Arial" w:hAnsi="Arial"/>
          <w:color w:val="7A7974"/>
          <w:sz w:val="22"/>
          <w:szCs w:val="22"/>
        </w:rPr>
        <w:t xml:space="preserve">COMPLAINT TO THE DANISH BAR COMPLAINTS BOARD</w:t>
      </w:r>
    </w:p>
    <w:p>
      <w:pPr>
        <w:spacing w:after="300"/>
        <w:jc w:val="center"/>
      </w:pPr>
      <w:r>
        <w:rPr>
          <w:rFonts w:ascii="Arial" w:cs="Arial" w:eastAsia="Arial" w:hAnsi="Arial"/>
          <w:color w:val="7A7974"/>
          <w:sz w:val="22"/>
          <w:szCs w:val="22"/>
        </w:rPr>
        <w:t xml:space="preserve">Adfærdssag / Conduct Complaint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Indklagede / Respondent</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bCs/>
                <w:color w:val="28251D"/>
                <w:sz w:val="20"/>
                <w:szCs w:val="20"/>
              </w:rPr>
              <w:t xml:space="preserve">Teis Gullitz-Wormslev, Partner, Advokat</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Advokatfirma</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Kromann Reumert, Sundkrogsgade 5, 2100 København Ø</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E-mail</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tgw@kromannreumert.com</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Klager / Complainant</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bCs/>
                <w:color w:val="28251D"/>
                <w:sz w:val="20"/>
                <w:szCs w:val="20"/>
              </w:rPr>
              <w:t xml:space="preserve">Mark-Robert Abraham, CEO, Shape Robotics A/S (CVR 38322656)</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Adresse</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Strada Tuberozelor 8A, Voluntari, Ilfov 077190, Romania</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E-mail</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mark.robert.abraham@gmail.com</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Dato / Date</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13 March 2026</w:t>
            </w:r>
          </w:p>
        </w:tc>
      </w:tr>
    </w:tbl>
    <w:p>
      <w:pPr>
        <w:spacing w:after="200"/>
      </w:pPr>
    </w:p>
    <w:p>
      <w:pPr>
        <w:pStyle w:val="Heading1"/>
      </w:pPr>
      <w:r>
        <w:rPr>
          <w:rFonts w:ascii="Arial" w:cs="Arial" w:eastAsia="Arial" w:hAnsi="Arial"/>
          <w:b/>
          <w:bCs/>
        </w:rPr>
        <w:t xml:space="preserve">1. Klagepunkt / Complaint</w:t>
      </w:r>
    </w:p>
    <w:p>
      <w:pPr>
        <w:spacing w:after="120" w:line="276"/>
      </w:pPr>
      <w:r>
        <w:rPr>
          <w:rFonts w:ascii="Arial" w:cs="Arial" w:eastAsia="Arial" w:hAnsi="Arial"/>
          <w:b w:val="false"/>
          <w:bCs w:val="false"/>
          <w:color w:val="28251D"/>
          <w:sz w:val="22"/>
          <w:szCs w:val="22"/>
        </w:rPr>
        <w:t xml:space="preserve">Shape Robotics A/S indgiver hermed klage over advokat Teis Gullitz-Wormslev for tilsidesættelse af god advokatskik, jf. retsplejelovens § 126, stk. 1.</w:t>
      </w:r>
    </w:p>
    <w:p>
      <w:pPr>
        <w:spacing w:after="120" w:line="276"/>
      </w:pPr>
      <w:r>
        <w:rPr>
          <w:rFonts w:ascii="Arial" w:cs="Arial" w:eastAsia="Arial" w:hAnsi="Arial"/>
          <w:b w:val="false"/>
          <w:bCs w:val="false"/>
          <w:color w:val="7A7974"/>
          <w:sz w:val="22"/>
          <w:szCs w:val="22"/>
        </w:rPr>
        <w:t xml:space="preserve">Shape Robotics A/S hereby files a complaint against attorney Teis Gullitz-Wormslev for violation of the rules of proper professional conduct (god advokatskik) pursuant to the Administration of Justice Act § 126(1).</w:t>
      </w:r>
    </w:p>
    <w:p>
      <w:pPr>
        <w:spacing w:after="200"/>
      </w:pPr>
    </w:p>
    <w:p>
      <w:pPr>
        <w:pStyle w:val="Heading1"/>
      </w:pPr>
      <w:r>
        <w:rPr>
          <w:rFonts w:ascii="Arial" w:cs="Arial" w:eastAsia="Arial" w:hAnsi="Arial"/>
          <w:b/>
          <w:bCs/>
        </w:rPr>
        <w:t xml:space="preserve">2. Sagsfremstilling / Statement of Facts</w:t>
      </w:r>
    </w:p>
    <w:p>
      <w:pPr>
        <w:pStyle w:val="Heading2"/>
      </w:pPr>
      <w:r>
        <w:rPr>
          <w:rFonts w:ascii="Arial" w:cs="Arial" w:eastAsia="Arial" w:hAnsi="Arial"/>
          <w:b/>
          <w:bCs/>
        </w:rPr>
        <w:t xml:space="preserve">2.1 Afviklingsaftalen / The Settlement Agreement</w:t>
      </w:r>
    </w:p>
    <w:p>
      <w:pPr>
        <w:spacing w:after="120" w:line="276"/>
      </w:pPr>
      <w:r>
        <w:rPr>
          <w:rFonts w:ascii="Arial" w:cs="Arial" w:eastAsia="Arial" w:hAnsi="Arial"/>
          <w:b w:val="false"/>
          <w:bCs w:val="false"/>
          <w:color w:val="28251D"/>
          <w:sz w:val="22"/>
          <w:szCs w:val="22"/>
        </w:rPr>
        <w:t xml:space="preserve">In late November 2025, Kromann Reumert prepared a settlement agreement (Afviklingsaftale) between Shape Robotics A/S and its creditors (Danske Bank and EIFO), with Teis Gullitz-Wormslev acting as counsel for the creditor side.</w:t>
      </w:r>
    </w:p>
    <w:p>
      <w:pPr>
        <w:spacing w:after="120" w:line="276"/>
      </w:pPr>
      <w:r>
        <w:rPr>
          <w:rFonts w:ascii="Arial" w:cs="Arial" w:eastAsia="Arial" w:hAnsi="Arial"/>
          <w:b w:val="false"/>
          <w:bCs w:val="false"/>
          <w:color w:val="28251D"/>
          <w:sz w:val="22"/>
          <w:szCs w:val="22"/>
        </w:rPr>
        <w:t xml:space="preserve">The agreement was sent via DocuSign on 27 November 2025 by Albert Mungo Madsen (Assistant Associate at Kromann Reumert, working under Teis Gullitz-Wormslev) to multiple parties for digital signature.</w:t>
      </w:r>
    </w:p>
    <w:p>
      <w:pPr>
        <w:spacing w:after="120" w:line="276"/>
      </w:pPr>
      <w:r>
        <w:rPr>
          <w:rFonts w:ascii="Arial" w:cs="Arial" w:eastAsia="Arial" w:hAnsi="Arial"/>
          <w:b w:val="false"/>
          <w:bCs w:val="false"/>
          <w:color w:val="28251D"/>
          <w:sz w:val="22"/>
          <w:szCs w:val="22"/>
        </w:rPr>
        <w:t xml:space="preserve">Shape Robotics A/S paid EUR 568,700 to Kromann Reumert’s client account pursuant to this agreement.</w:t>
      </w:r>
    </w:p>
    <w:p>
      <w:pPr>
        <w:spacing w:after="200"/>
      </w:pPr>
    </w:p>
    <w:p>
      <w:pPr>
        <w:pStyle w:val="Heading2"/>
      </w:pPr>
      <w:r>
        <w:rPr>
          <w:rFonts w:ascii="Arial" w:cs="Arial" w:eastAsia="Arial" w:hAnsi="Arial"/>
          <w:b/>
          <w:bCs/>
        </w:rPr>
        <w:t xml:space="preserve">2.2 The Contract Was Never Completed</w:t>
      </w:r>
    </w:p>
    <w:p>
      <w:pPr>
        <w:spacing w:after="120" w:line="276"/>
      </w:pPr>
      <w:r>
        <w:rPr>
          <w:rFonts w:ascii="Arial" w:cs="Arial" w:eastAsia="Arial" w:hAnsi="Arial"/>
          <w:b w:val="false"/>
          <w:bCs w:val="false"/>
          <w:color w:val="28251D"/>
          <w:sz w:val="22"/>
          <w:szCs w:val="22"/>
        </w:rPr>
        <w:t xml:space="preserve">The DocuSign Certificate of Completion reveals the following critical failures:</w:t>
      </w:r>
    </w:p>
    <w:p>
      <w:pPr>
        <w:pStyle w:val="ListParagraph"/>
        <w:numPr>
          <w:ilvl w:val="0"/>
          <w:numId w:val="2"/>
        </w:numPr>
        <w:spacing w:after="60" w:line="276"/>
      </w:pPr>
      <w:r>
        <w:rPr>
          <w:rFonts w:ascii="Arial" w:cs="Arial" w:eastAsia="Arial" w:hAnsi="Arial"/>
          <w:b/>
          <w:bCs/>
          <w:color w:val="28251D"/>
          <w:sz w:val="22"/>
          <w:szCs w:val="22"/>
        </w:rPr>
        <w:t xml:space="preserve">Envelope status: </w:t>
      </w:r>
      <w:r>
        <w:rPr>
          <w:rFonts w:ascii="Arial" w:cs="Arial" w:eastAsia="Arial" w:hAnsi="Arial"/>
          <w:color w:val="28251D"/>
          <w:sz w:val="22"/>
          <w:szCs w:val="22"/>
        </w:rPr>
        <w:t xml:space="preserve">“Delivered” — NOT “Completed.” The agreement was never fully executed.</w:t>
      </w:r>
    </w:p>
    <w:p>
      <w:pPr>
        <w:pStyle w:val="ListParagraph"/>
        <w:numPr>
          <w:ilvl w:val="0"/>
          <w:numId w:val="2"/>
        </w:numPr>
        <w:spacing w:after="60" w:line="276"/>
      </w:pPr>
      <w:r>
        <w:rPr>
          <w:rFonts w:ascii="Arial" w:cs="Arial" w:eastAsia="Arial" w:hAnsi="Arial"/>
          <w:b/>
          <w:bCs/>
          <w:color w:val="28251D"/>
          <w:sz w:val="22"/>
          <w:szCs w:val="22"/>
        </w:rPr>
        <w:t xml:space="preserve">Fragmented signatures: </w:t>
      </w:r>
      <w:r>
        <w:rPr>
          <w:rFonts w:ascii="Arial" w:cs="Arial" w:eastAsia="Arial" w:hAnsi="Arial"/>
          <w:color w:val="28251D"/>
          <w:sz w:val="22"/>
          <w:szCs w:val="22"/>
        </w:rPr>
        <w:t xml:space="preserve">Some signatories signed; others did not. The envelope was never completed by all required parties.</w:t>
      </w:r>
    </w:p>
    <w:p>
      <w:pPr>
        <w:pStyle w:val="ListParagraph"/>
        <w:numPr>
          <w:ilvl w:val="0"/>
          <w:numId w:val="2"/>
        </w:numPr>
        <w:spacing w:after="60" w:line="276"/>
      </w:pPr>
      <w:r>
        <w:rPr>
          <w:rFonts w:ascii="Arial" w:cs="Arial" w:eastAsia="Arial" w:hAnsi="Arial"/>
          <w:b/>
          <w:bCs/>
          <w:color w:val="28251D"/>
          <w:sz w:val="22"/>
          <w:szCs w:val="22"/>
        </w:rPr>
        <w:t xml:space="preserve">Kristian Anning (EIFO): </w:t>
      </w:r>
      <w:r>
        <w:rPr>
          <w:rFonts w:ascii="Arial" w:cs="Arial" w:eastAsia="Arial" w:hAnsi="Arial"/>
          <w:color w:val="28251D"/>
          <w:sz w:val="22"/>
          <w:szCs w:val="22"/>
        </w:rPr>
        <w:t xml:space="preserve">Zero identity verification. No access code, no phone authentication, no ID check. His “signature” is worthless under any standard of authentication.</w:t>
      </w:r>
    </w:p>
    <w:p>
      <w:pPr>
        <w:pStyle w:val="ListParagraph"/>
        <w:numPr>
          <w:ilvl w:val="0"/>
          <w:numId w:val="2"/>
        </w:numPr>
        <w:spacing w:after="60" w:line="276"/>
      </w:pPr>
      <w:r>
        <w:rPr>
          <w:rFonts w:ascii="Arial" w:cs="Arial" w:eastAsia="Arial" w:hAnsi="Arial"/>
          <w:b/>
          <w:bCs/>
          <w:color w:val="28251D"/>
          <w:sz w:val="22"/>
          <w:szCs w:val="22"/>
        </w:rPr>
        <w:t xml:space="preserve">10 reminder emails: </w:t>
      </w:r>
      <w:r>
        <w:rPr>
          <w:rFonts w:ascii="Arial" w:cs="Arial" w:eastAsia="Arial" w:hAnsi="Arial"/>
          <w:color w:val="28251D"/>
          <w:sz w:val="22"/>
          <w:szCs w:val="22"/>
        </w:rPr>
        <w:t xml:space="preserve">Between 3 March and 12 March 2026, DocuSign sent 10 automated reminder emails to unsigned parties — proving the envelope remained incomplete months after Shape Robotics paid EUR 568,700.</w:t>
      </w:r>
    </w:p>
    <w:p>
      <w:pPr>
        <w:spacing w:after="200"/>
      </w:pPr>
    </w:p>
    <w:p>
      <w:pPr>
        <w:spacing w:after="120" w:line="276"/>
      </w:pPr>
      <w:r>
        <w:rPr>
          <w:rFonts w:ascii="Arial" w:cs="Arial" w:eastAsia="Arial" w:hAnsi="Arial"/>
          <w:b w:val="false"/>
          <w:bCs w:val="false"/>
          <w:color w:val="28251D"/>
          <w:sz w:val="22"/>
          <w:szCs w:val="22"/>
        </w:rPr>
        <w:t xml:space="preserve">Despite knowing the agreement was never completed, Teis Gullitz-Wormslev accepted EUR 568,700 on Kromann Reumert’s client account and has refused to return the funds.</w:t>
      </w:r>
    </w:p>
    <w:p>
      <w:pPr>
        <w:spacing w:after="200"/>
      </w:pPr>
    </w:p>
    <w:p>
      <w:pPr>
        <w:pStyle w:val="Heading2"/>
      </w:pPr>
      <w:r>
        <w:rPr>
          <w:rFonts w:ascii="Arial" w:cs="Arial" w:eastAsia="Arial" w:hAnsi="Arial"/>
          <w:b/>
          <w:bCs/>
        </w:rPr>
        <w:t xml:space="preserve">2.3 “Kurator” — 39 Days Before Court Appointment</w:t>
      </w:r>
    </w:p>
    <w:p>
      <w:pPr>
        <w:spacing w:after="120" w:line="276"/>
      </w:pPr>
      <w:r>
        <w:rPr>
          <w:rFonts w:ascii="Arial" w:cs="Arial" w:eastAsia="Arial" w:hAnsi="Arial"/>
          <w:b w:val="false"/>
          <w:bCs w:val="false"/>
          <w:color w:val="28251D"/>
          <w:sz w:val="22"/>
          <w:szCs w:val="22"/>
        </w:rPr>
        <w:t xml:space="preserve">The most serious finding in the DocuSign metadata:</w:t>
      </w:r>
    </w:p>
    <w:p>
      <w:pPr>
        <w:spacing w:after="200"/>
      </w:pPr>
    </w:p>
    <w:p>
      <w:pPr>
        <w:spacing w:after="120" w:line="276"/>
      </w:pPr>
      <w:r>
        <w:rPr>
          <w:rFonts w:ascii="Arial" w:cs="Arial" w:eastAsia="Arial" w:hAnsi="Arial"/>
          <w:b/>
          <w:bCs/>
          <w:color w:val="28251D"/>
          <w:sz w:val="22"/>
          <w:szCs w:val="22"/>
        </w:rPr>
        <w:t xml:space="preserve">Albert Mungo Madsen designated Teis Gullitz-Wormslev’s role in the DocuSign envelope as “Kurator” (bankruptcy trustee).</w:t>
      </w:r>
    </w:p>
    <w:p>
      <w:pPr>
        <w:spacing w:after="200"/>
      </w:pPr>
    </w:p>
    <w:p>
      <w:pPr>
        <w:spacing w:after="120" w:line="276"/>
      </w:pPr>
      <w:r>
        <w:rPr>
          <w:rFonts w:ascii="Arial" w:cs="Arial" w:eastAsia="Arial" w:hAnsi="Arial"/>
          <w:b w:val="false"/>
          <w:bCs w:val="false"/>
          <w:color w:val="28251D"/>
          <w:sz w:val="22"/>
          <w:szCs w:val="22"/>
        </w:rPr>
        <w:t xml:space="preserve">The DocuSign envelope was created on 27 November 2025. The bankruptcy decree was issued by Sø- og Handelsretten on 6 January 2026 — 39 days later.</w:t>
      </w:r>
    </w:p>
    <w:p>
      <w:pPr>
        <w:spacing w:after="120" w:line="276"/>
      </w:pPr>
      <w:r>
        <w:rPr>
          <w:rFonts w:ascii="Arial" w:cs="Arial" w:eastAsia="Arial" w:hAnsi="Arial"/>
          <w:b w:val="false"/>
          <w:bCs w:val="false"/>
          <w:color w:val="28251D"/>
          <w:sz w:val="22"/>
          <w:szCs w:val="22"/>
        </w:rPr>
        <w:t xml:space="preserve">Teis Gullitz-Wormslev viewed the DocuSign envelope six minutes after Mungo Madsen sent it. He saw his own name next to the designation “Kurator.” He did not correct it.</w:t>
      </w:r>
    </w:p>
    <w:p>
      <w:pPr>
        <w:spacing w:after="200"/>
      </w:pPr>
    </w:p>
    <w:p>
      <w:pPr>
        <w:spacing w:after="120" w:line="276"/>
      </w:pPr>
      <w:r>
        <w:rPr>
          <w:rFonts w:ascii="Arial" w:cs="Arial" w:eastAsia="Arial" w:hAnsi="Arial"/>
          <w:b w:val="false"/>
          <w:bCs w:val="false"/>
          <w:color w:val="28251D"/>
          <w:sz w:val="22"/>
          <w:szCs w:val="22"/>
        </w:rPr>
        <w:t xml:space="preserve">This proves that Kromann Reumert planned the trusteeship from the very beginning. The settlement agreement was not a genuine attempt to resolve the dispute — it was preparation for the bankruptcy that Teis Gullitz-Wormslev intended to control.</w:t>
      </w:r>
    </w:p>
    <w:p>
      <w:pPr>
        <w:spacing w:after="200"/>
      </w:pPr>
    </w:p>
    <w:p>
      <w:pPr>
        <w:spacing w:after="120" w:line="276"/>
      </w:pPr>
      <w:r>
        <w:rPr>
          <w:rFonts w:ascii="Arial" w:cs="Arial" w:eastAsia="Arial" w:hAnsi="Arial"/>
          <w:b w:val="false"/>
          <w:bCs w:val="false"/>
          <w:color w:val="28251D"/>
          <w:sz w:val="22"/>
          <w:szCs w:val="22"/>
        </w:rPr>
        <w:t xml:space="preserve">Under Danish insolvency law (Konkursloven), the bankruptcy petitioner has “afgørende indflydelse” (decisive influence) on who is appointed as kurator. Kromann Reumert filed the petition on behalf of Danske Bank/EIFO, and then Teis was appointed as trustee — exactly as he had been pre-designated 39 days earlier.</w:t>
      </w:r>
    </w:p>
    <w:p>
      <w:pPr>
        <w:spacing w:after="200"/>
      </w:pPr>
    </w:p>
    <w:p>
      <w:pPr>
        <w:pStyle w:val="Heading2"/>
      </w:pPr>
      <w:r>
        <w:rPr>
          <w:rFonts w:ascii="Arial" w:cs="Arial" w:eastAsia="Arial" w:hAnsi="Arial"/>
          <w:b/>
          <w:bCs/>
        </w:rPr>
        <w:t xml:space="preserve">2.4 Funds Held Hostage</w:t>
      </w:r>
    </w:p>
    <w:p>
      <w:pPr>
        <w:spacing w:after="120" w:line="276"/>
      </w:pPr>
      <w:r>
        <w:rPr>
          <w:rFonts w:ascii="Arial" w:cs="Arial" w:eastAsia="Arial" w:hAnsi="Arial"/>
          <w:b w:val="false"/>
          <w:bCs w:val="false"/>
          <w:color w:val="28251D"/>
          <w:sz w:val="22"/>
          <w:szCs w:val="22"/>
        </w:rPr>
        <w:t xml:space="preserve">Since the Eastern High Court (Østre Landsret) annulled the bankruptcy on 5 March 2026 (Sag BS-1180/2025-SHR), Teis Gullitz-Wormslev has:</w:t>
      </w:r>
    </w:p>
    <w:p>
      <w:pPr>
        <w:pStyle w:val="ListParagraph"/>
        <w:numPr>
          <w:ilvl w:val="0"/>
          <w:numId w:val="2"/>
        </w:numPr>
        <w:spacing w:after="60" w:line="276"/>
      </w:pPr>
      <w:r>
        <w:rPr>
          <w:rFonts w:ascii="Arial" w:cs="Arial" w:eastAsia="Arial" w:hAnsi="Arial"/>
          <w:color w:val="28251D"/>
          <w:sz w:val="22"/>
          <w:szCs w:val="22"/>
        </w:rPr>
        <w:t xml:space="preserve">Refused to return DKK 3,722,813.18 held on Kromann Reumert’s client account</w:t>
      </w:r>
    </w:p>
    <w:p>
      <w:pPr>
        <w:pStyle w:val="ListParagraph"/>
        <w:numPr>
          <w:ilvl w:val="0"/>
          <w:numId w:val="2"/>
        </w:numPr>
        <w:spacing w:after="60" w:line="276"/>
      </w:pPr>
      <w:r>
        <w:rPr>
          <w:rFonts w:ascii="Arial" w:cs="Arial" w:eastAsia="Arial" w:hAnsi="Arial"/>
          <w:color w:val="28251D"/>
          <w:sz w:val="22"/>
          <w:szCs w:val="22"/>
        </w:rPr>
        <w:t xml:space="preserve">Claimed these funds are held in “escrow” — conditioned on the bankruptcy decree that has been annulled</w:t>
      </w:r>
    </w:p>
    <w:p>
      <w:pPr>
        <w:pStyle w:val="ListParagraph"/>
        <w:numPr>
          <w:ilvl w:val="0"/>
          <w:numId w:val="2"/>
        </w:numPr>
        <w:spacing w:after="60" w:line="276"/>
      </w:pPr>
      <w:r>
        <w:rPr>
          <w:rFonts w:ascii="Arial" w:cs="Arial" w:eastAsia="Arial" w:hAnsi="Arial"/>
          <w:color w:val="28251D"/>
          <w:sz w:val="22"/>
          <w:szCs w:val="22"/>
        </w:rPr>
        <w:t xml:space="preserve">Refused to hand over company records, creditor lists, and bank access to the reinstated CEO</w:t>
      </w:r>
    </w:p>
    <w:p>
      <w:pPr>
        <w:pStyle w:val="ListParagraph"/>
        <w:numPr>
          <w:ilvl w:val="0"/>
          <w:numId w:val="2"/>
        </w:numPr>
        <w:spacing w:after="60" w:line="276"/>
      </w:pPr>
      <w:r>
        <w:rPr>
          <w:rFonts w:ascii="Arial" w:cs="Arial" w:eastAsia="Arial" w:hAnsi="Arial"/>
          <w:color w:val="28251D"/>
          <w:sz w:val="22"/>
          <w:szCs w:val="22"/>
        </w:rPr>
        <w:t xml:space="preserve">Refused to return the EUR 568,700 paid under the void agreement</w:t>
      </w:r>
    </w:p>
    <w:p>
      <w:pPr>
        <w:spacing w:after="200"/>
      </w:pPr>
    </w:p>
    <w:p>
      <w:pPr>
        <w:spacing w:after="120" w:line="276"/>
      </w:pPr>
      <w:r>
        <w:rPr>
          <w:rFonts w:ascii="Arial" w:cs="Arial" w:eastAsia="Arial" w:hAnsi="Arial"/>
          <w:b w:val="false"/>
          <w:bCs w:val="false"/>
          <w:color w:val="28251D"/>
          <w:sz w:val="22"/>
          <w:szCs w:val="22"/>
        </w:rPr>
        <w:t xml:space="preserve">As former kurator, Teis Gullitz-Wormslev has a statutory duty under Konkursloven § 114(3) to hand over all company assets and records upon cessation of his appointment. He has failed to do so.</w:t>
      </w:r>
    </w:p>
    <w:p>
      <w:pPr>
        <w:spacing w:after="200"/>
      </w:pPr>
    </w:p>
    <w:p>
      <w:pPr>
        <w:pStyle w:val="Heading1"/>
      </w:pPr>
      <w:r>
        <w:rPr>
          <w:rFonts w:ascii="Arial" w:cs="Arial" w:eastAsia="Arial" w:hAnsi="Arial"/>
          <w:b/>
          <w:bCs/>
        </w:rPr>
        <w:t xml:space="preserve">3. Tilsidesættelse af god advokatskik / Breaches</w:t>
      </w:r>
    </w:p>
    <w:p>
      <w:pPr>
        <w:pStyle w:val="ListParagraph"/>
        <w:numPr>
          <w:ilvl w:val="0"/>
          <w:numId w:val="3"/>
        </w:numPr>
        <w:spacing w:after="100" w:line="276"/>
      </w:pPr>
      <w:r>
        <w:rPr>
          <w:rFonts w:ascii="Arial" w:cs="Arial" w:eastAsia="Arial" w:hAnsi="Arial"/>
          <w:b/>
          <w:bCs/>
          <w:color w:val="28251D"/>
          <w:sz w:val="22"/>
          <w:szCs w:val="22"/>
        </w:rPr>
        <w:t xml:space="preserve">Accepting payment under a void contract: </w:t>
      </w:r>
      <w:r>
        <w:rPr>
          <w:rFonts w:ascii="Arial" w:cs="Arial" w:eastAsia="Arial" w:hAnsi="Arial"/>
          <w:color w:val="28251D"/>
          <w:sz w:val="22"/>
          <w:szCs w:val="22"/>
        </w:rPr>
        <w:t xml:space="preserve">Teis Gullitz-Wormslev accepted EUR 568,700 on KR’s client account under an agreement that was never completed (DocuSign status: “Delivered,” not “Completed”). He has refused to return the funds despite knowledge that the agreement is void. This violates the duty of integrity and proper handling of client funds.</w:t>
      </w:r>
    </w:p>
    <w:p>
      <w:pPr>
        <w:pStyle w:val="ListParagraph"/>
        <w:numPr>
          <w:ilvl w:val="0"/>
          <w:numId w:val="3"/>
        </w:numPr>
        <w:spacing w:after="100" w:line="276"/>
      </w:pPr>
      <w:r>
        <w:rPr>
          <w:rFonts w:ascii="Arial" w:cs="Arial" w:eastAsia="Arial" w:hAnsi="Arial"/>
          <w:b/>
          <w:bCs/>
          <w:color w:val="28251D"/>
          <w:sz w:val="22"/>
          <w:szCs w:val="22"/>
        </w:rPr>
        <w:t xml:space="preserve">Pre-planning the trusteeship: </w:t>
      </w:r>
      <w:r>
        <w:rPr>
          <w:rFonts w:ascii="Arial" w:cs="Arial" w:eastAsia="Arial" w:hAnsi="Arial"/>
          <w:color w:val="28251D"/>
          <w:sz w:val="22"/>
          <w:szCs w:val="22"/>
        </w:rPr>
        <w:t xml:space="preserve">The DocuSign metadata shows Teis was designated as “Kurator” 39 days before the court appointment. He viewed this designation and did not correct it. He subsequently filed the bankruptcy petition (through KR on behalf of Danske Bank) and was appointed as trustee — exactly as pre-planned. This constitutes a fundamental conflict of interest and breach of the independence required of a kurator under Konkursloven § 238 and Retsplejeloven § 126.</w:t>
      </w:r>
    </w:p>
    <w:p>
      <w:pPr>
        <w:pStyle w:val="ListParagraph"/>
        <w:numPr>
          <w:ilvl w:val="0"/>
          <w:numId w:val="3"/>
        </w:numPr>
        <w:spacing w:after="100" w:line="276"/>
      </w:pPr>
      <w:r>
        <w:rPr>
          <w:rFonts w:ascii="Arial" w:cs="Arial" w:eastAsia="Arial" w:hAnsi="Arial"/>
          <w:b/>
          <w:bCs/>
          <w:color w:val="28251D"/>
          <w:sz w:val="22"/>
          <w:szCs w:val="22"/>
        </w:rPr>
        <w:t xml:space="preserve">Withholding company assets after annulment: </w:t>
      </w:r>
      <w:r>
        <w:rPr>
          <w:rFonts w:ascii="Arial" w:cs="Arial" w:eastAsia="Arial" w:hAnsi="Arial"/>
          <w:color w:val="28251D"/>
          <w:sz w:val="22"/>
          <w:szCs w:val="22"/>
        </w:rPr>
        <w:t xml:space="preserve">Since the High Court annulment on 5 March 2026, Teis has refused to release DKK 3,722,813.18, company records, and bank access. As former kurator, he is legally obligated to hand over all assets under Konkursloven § 114(3). His continued refusal is a direct violation of his statutory duties and god advokatskik.</w:t>
      </w:r>
    </w:p>
    <w:p>
      <w:pPr>
        <w:spacing w:after="200"/>
      </w:pPr>
    </w:p>
    <w:p>
      <w:pPr>
        <w:pStyle w:val="Heading1"/>
      </w:pPr>
      <w:r>
        <w:rPr>
          <w:rFonts w:ascii="Arial" w:cs="Arial" w:eastAsia="Arial" w:hAnsi="Arial"/>
          <w:b/>
          <w:bCs/>
        </w:rPr>
        <w:t xml:space="preserve">4. Bilag / Enclosures</w:t>
      </w:r>
    </w:p>
    <w:p>
      <w:pPr>
        <w:pStyle w:val="ListParagraph"/>
        <w:numPr>
          <w:ilvl w:val="0"/>
          <w:numId w:val="2"/>
        </w:numPr>
        <w:spacing w:after="60" w:line="276"/>
      </w:pPr>
      <w:r>
        <w:rPr>
          <w:rFonts w:ascii="Arial" w:cs="Arial" w:eastAsia="Arial" w:hAnsi="Arial"/>
          <w:color w:val="28251D"/>
          <w:sz w:val="22"/>
          <w:szCs w:val="22"/>
        </w:rPr>
        <w:t xml:space="preserve">DocuSign Certificate of Completion (showing “Delivered” status, “Kurator” designation, and reminder history)</w:t>
      </w:r>
    </w:p>
    <w:p>
      <w:pPr>
        <w:pStyle w:val="ListParagraph"/>
        <w:numPr>
          <w:ilvl w:val="0"/>
          <w:numId w:val="2"/>
        </w:numPr>
        <w:spacing w:after="60" w:line="276"/>
      </w:pPr>
      <w:r>
        <w:rPr>
          <w:rFonts w:ascii="Arial" w:cs="Arial" w:eastAsia="Arial" w:hAnsi="Arial"/>
          <w:color w:val="28251D"/>
          <w:sz w:val="22"/>
          <w:szCs w:val="22"/>
        </w:rPr>
        <w:t xml:space="preserve">Eastern High Court ruling — annulment of bankruptcy (5 March 2026)</w:t>
      </w:r>
    </w:p>
    <w:p>
      <w:pPr>
        <w:pStyle w:val="ListParagraph"/>
        <w:numPr>
          <w:ilvl w:val="0"/>
          <w:numId w:val="2"/>
        </w:numPr>
        <w:spacing w:after="60" w:line="276"/>
      </w:pPr>
      <w:r>
        <w:rPr>
          <w:rFonts w:ascii="Arial" w:cs="Arial" w:eastAsia="Arial" w:hAnsi="Arial"/>
          <w:color w:val="28251D"/>
          <w:sz w:val="22"/>
          <w:szCs w:val="22"/>
        </w:rPr>
        <w:t xml:space="preserve">Teis Gullitz-Wormslev’s email of 21 October 2025 stipulating escrow conditions</w:t>
      </w:r>
    </w:p>
    <w:p>
      <w:pPr>
        <w:pStyle w:val="ListParagraph"/>
        <w:numPr>
          <w:ilvl w:val="0"/>
          <w:numId w:val="2"/>
        </w:numPr>
        <w:spacing w:after="60" w:line="276"/>
      </w:pPr>
      <w:r>
        <w:rPr>
          <w:rFonts w:ascii="Arial" w:cs="Arial" w:eastAsia="Arial" w:hAnsi="Arial"/>
          <w:color w:val="28251D"/>
          <w:sz w:val="22"/>
          <w:szCs w:val="22"/>
        </w:rPr>
        <w:t xml:space="preserve">Payment records: EUR 568,700 to Kromann Reumert client account</w:t>
      </w:r>
    </w:p>
    <w:p>
      <w:pPr>
        <w:spacing w:after="200"/>
      </w:pPr>
    </w:p>
    <w:p>
      <w:pPr>
        <w:pStyle w:val="Heading1"/>
      </w:pPr>
      <w:r>
        <w:rPr>
          <w:rFonts w:ascii="Arial" w:cs="Arial" w:eastAsia="Arial" w:hAnsi="Arial"/>
          <w:b/>
          <w:bCs/>
        </w:rPr>
        <w:t xml:space="preserve">5. Påstand / Request</w:t>
      </w:r>
    </w:p>
    <w:p>
      <w:pPr>
        <w:spacing w:after="120" w:line="276"/>
      </w:pPr>
      <w:r>
        <w:rPr>
          <w:rFonts w:ascii="Arial" w:cs="Arial" w:eastAsia="Arial" w:hAnsi="Arial"/>
          <w:b w:val="false"/>
          <w:bCs w:val="false"/>
          <w:color w:val="28251D"/>
          <w:sz w:val="22"/>
          <w:szCs w:val="22"/>
        </w:rPr>
        <w:t xml:space="preserve">Klager anmoder Advokatnævnet om at fastslå, at advokat Teis Gullitz-Wormslev har tilsidesat god advokatskik, og at der ikendes en passende sanktion.</w:t>
      </w:r>
    </w:p>
    <w:p>
      <w:pPr>
        <w:spacing w:after="120" w:line="276"/>
      </w:pPr>
      <w:r>
        <w:rPr>
          <w:rFonts w:ascii="Arial" w:cs="Arial" w:eastAsia="Arial" w:hAnsi="Arial"/>
          <w:b w:val="false"/>
          <w:bCs w:val="false"/>
          <w:color w:val="7A7974"/>
          <w:sz w:val="22"/>
          <w:szCs w:val="22"/>
        </w:rPr>
        <w:t xml:space="preserve">The complainant requests that the Danish Bar Complaints Board find that attorney Teis Gullitz-Wormslev has violated the rules of proper professional conduct and impose an appropriate sanction.</w:t>
      </w:r>
    </w:p>
    <w:p>
      <w:pPr>
        <w:spacing w:after="200"/>
      </w:pPr>
    </w:p>
    <w:p>
      <w:pPr>
        <w:spacing w:after="200"/>
      </w:pPr>
    </w:p>
    <w:p>
      <w:pPr>
        <w:spacing w:after="120" w:line="276"/>
      </w:pPr>
      <w:r>
        <w:rPr>
          <w:rFonts w:ascii="Arial" w:cs="Arial" w:eastAsia="Arial" w:hAnsi="Arial"/>
          <w:b w:val="false"/>
          <w:bCs w:val="false"/>
          <w:color w:val="28251D"/>
          <w:sz w:val="22"/>
          <w:szCs w:val="22"/>
        </w:rPr>
        <w:t xml:space="preserve">Med venlig hilsen / Yours faithfully,</w:t>
      </w:r>
    </w:p>
    <w:p>
      <w:pPr>
        <w:spacing w:after="200"/>
      </w:pPr>
    </w:p>
    <w:p>
      <w:pPr>
        <w:spacing w:after="120" w:line="276"/>
      </w:pPr>
      <w:r>
        <w:rPr>
          <w:rFonts w:ascii="Arial" w:cs="Arial" w:eastAsia="Arial" w:hAnsi="Arial"/>
          <w:b/>
          <w:bCs/>
          <w:color w:val="28251D"/>
          <w:sz w:val="22"/>
          <w:szCs w:val="22"/>
        </w:rPr>
        <w:t xml:space="preserve">Mark-Robert Abraham</w:t>
      </w:r>
    </w:p>
    <w:p>
      <w:pPr>
        <w:spacing w:after="120" w:line="276"/>
      </w:pPr>
      <w:r>
        <w:rPr>
          <w:rFonts w:ascii="Arial" w:cs="Arial" w:eastAsia="Arial" w:hAnsi="Arial"/>
          <w:b w:val="false"/>
          <w:bCs w:val="false"/>
          <w:color w:val="28251D"/>
          <w:sz w:val="22"/>
          <w:szCs w:val="22"/>
        </w:rPr>
        <w:t xml:space="preserve">Chief Executive Officer</w:t>
      </w:r>
    </w:p>
    <w:p>
      <w:pPr>
        <w:spacing w:after="120" w:line="276"/>
      </w:pPr>
      <w:r>
        <w:rPr>
          <w:rFonts w:ascii="Arial" w:cs="Arial" w:eastAsia="Arial" w:hAnsi="Arial"/>
          <w:b w:val="false"/>
          <w:bCs w:val="false"/>
          <w:color w:val="28251D"/>
          <w:sz w:val="22"/>
          <w:szCs w:val="22"/>
        </w:rPr>
        <w:t xml:space="preserve">Shape Robotics A/S, CVR 38322656</w:t>
      </w:r>
    </w:p>
    <w:p>
      <w:pPr>
        <w:spacing w:after="120" w:line="276"/>
      </w:pPr>
      <w:r>
        <w:rPr>
          <w:rFonts w:ascii="Arial" w:cs="Arial" w:eastAsia="Arial" w:hAnsi="Arial"/>
          <w:b w:val="false"/>
          <w:bCs w:val="false"/>
          <w:color w:val="28251D"/>
          <w:sz w:val="22"/>
          <w:szCs w:val="22"/>
        </w:rPr>
        <w:t xml:space="preserve">mark.robert.abraham@gmail.com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8251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28251D"/>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28251D"/>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2026-03-13T20:28:03.785Z</dcterms:created>
  <dcterms:modified xsi:type="dcterms:W3CDTF">2026-03-13T20:28:03.786Z</dcterms:modified>
</cp:coreProperties>
</file>

<file path=docProps/custom.xml><?xml version="1.0" encoding="utf-8"?>
<Properties xmlns="http://schemas.openxmlformats.org/officeDocument/2006/custom-properties" xmlns:vt="http://schemas.openxmlformats.org/officeDocument/2006/docPropsVTypes"/>
</file>