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29FE" w14:textId="77777777" w:rsidR="00337D6C" w:rsidRPr="00AC2EB7" w:rsidRDefault="00337D6C" w:rsidP="00337D6C">
      <w:pPr>
        <w:ind w:right="-142"/>
        <w:rPr>
          <w:b/>
          <w:bCs/>
          <w:sz w:val="30"/>
          <w:szCs w:val="30"/>
        </w:rPr>
      </w:pPr>
      <w:r w:rsidRPr="00AC2EB7">
        <w:rPr>
          <w:b/>
          <w:bCs/>
          <w:sz w:val="30"/>
          <w:szCs w:val="30"/>
        </w:rPr>
        <w:t xml:space="preserve">Sammanfattning av koncernen rapportperioden </w:t>
      </w:r>
      <w:r w:rsidRPr="00AC2EB7">
        <w:rPr>
          <w:b/>
          <w:bCs/>
          <w:sz w:val="30"/>
          <w:szCs w:val="30"/>
        </w:rPr>
        <w:br/>
        <w:t>1 oktober – 31 december 202</w:t>
      </w:r>
      <w:r>
        <w:rPr>
          <w:b/>
          <w:bCs/>
          <w:sz w:val="30"/>
          <w:szCs w:val="30"/>
        </w:rPr>
        <w:t>5</w:t>
      </w:r>
    </w:p>
    <w:p w14:paraId="026EC753" w14:textId="77777777" w:rsidR="00337D6C" w:rsidRPr="00AC2EB7" w:rsidRDefault="00337D6C" w:rsidP="00337D6C">
      <w:pPr>
        <w:pStyle w:val="Liststycke"/>
        <w:ind w:left="360" w:firstLine="0"/>
        <w:rPr>
          <w:rFonts w:ascii="Arial" w:hAnsi="Arial" w:cs="Arial"/>
          <w:sz w:val="20"/>
          <w:szCs w:val="20"/>
        </w:rPr>
      </w:pPr>
    </w:p>
    <w:p w14:paraId="6EE16AA8"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Nettoomsättningen för fjärde kvartalet uppgick till</w:t>
      </w:r>
      <w:r>
        <w:rPr>
          <w:rFonts w:ascii="Arial" w:hAnsi="Arial" w:cs="Arial"/>
          <w:sz w:val="20"/>
          <w:szCs w:val="20"/>
        </w:rPr>
        <w:t xml:space="preserve"> 11 837 </w:t>
      </w:r>
      <w:r w:rsidRPr="00AC2EB7">
        <w:rPr>
          <w:rFonts w:ascii="Arial" w:hAnsi="Arial" w:cs="Arial"/>
          <w:sz w:val="20"/>
          <w:szCs w:val="20"/>
        </w:rPr>
        <w:t>(</w:t>
      </w:r>
      <w:r>
        <w:rPr>
          <w:rFonts w:ascii="Arial" w:hAnsi="Arial" w:cs="Arial"/>
          <w:sz w:val="20"/>
          <w:szCs w:val="20"/>
        </w:rPr>
        <w:t>14 816</w:t>
      </w:r>
      <w:r w:rsidRPr="00AC2EB7">
        <w:rPr>
          <w:rFonts w:ascii="Arial" w:hAnsi="Arial" w:cs="Arial"/>
          <w:sz w:val="20"/>
          <w:szCs w:val="20"/>
        </w:rPr>
        <w:t>) Tkr</w:t>
      </w:r>
    </w:p>
    <w:p w14:paraId="58C58F04"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Rörelseresultat före av- och nedskrivningar och finansiella poster uppgick till</w:t>
      </w:r>
      <w:r>
        <w:rPr>
          <w:rFonts w:ascii="Arial" w:hAnsi="Arial" w:cs="Arial"/>
          <w:sz w:val="20"/>
          <w:szCs w:val="20"/>
        </w:rPr>
        <w:t xml:space="preserve"> -2 907</w:t>
      </w:r>
      <w:r w:rsidRPr="00AC2EB7">
        <w:rPr>
          <w:rFonts w:ascii="Arial" w:hAnsi="Arial" w:cs="Arial"/>
          <w:spacing w:val="-9"/>
          <w:sz w:val="20"/>
          <w:szCs w:val="20"/>
        </w:rPr>
        <w:t xml:space="preserve"> </w:t>
      </w:r>
      <w:r w:rsidRPr="00AC2EB7">
        <w:rPr>
          <w:rFonts w:ascii="Arial" w:hAnsi="Arial" w:cs="Arial"/>
          <w:spacing w:val="-8"/>
          <w:sz w:val="20"/>
          <w:szCs w:val="20"/>
        </w:rPr>
        <w:t>(</w:t>
      </w:r>
      <w:r>
        <w:rPr>
          <w:rFonts w:ascii="Arial" w:hAnsi="Arial" w:cs="Arial"/>
          <w:spacing w:val="-8"/>
          <w:sz w:val="20"/>
          <w:szCs w:val="20"/>
        </w:rPr>
        <w:t>58</w:t>
      </w:r>
      <w:r w:rsidRPr="00AC2EB7">
        <w:rPr>
          <w:rFonts w:ascii="Arial" w:hAnsi="Arial" w:cs="Arial"/>
          <w:sz w:val="20"/>
          <w:szCs w:val="20"/>
        </w:rPr>
        <w:t>)</w:t>
      </w:r>
      <w:r w:rsidRPr="00AC2EB7">
        <w:rPr>
          <w:rFonts w:ascii="Arial" w:hAnsi="Arial" w:cs="Arial"/>
          <w:spacing w:val="10"/>
          <w:sz w:val="20"/>
          <w:szCs w:val="20"/>
        </w:rPr>
        <w:t xml:space="preserve"> </w:t>
      </w:r>
      <w:r w:rsidRPr="00AC2EB7">
        <w:rPr>
          <w:rFonts w:ascii="Arial" w:hAnsi="Arial" w:cs="Arial"/>
          <w:sz w:val="20"/>
          <w:szCs w:val="20"/>
        </w:rPr>
        <w:t>Tkr</w:t>
      </w:r>
    </w:p>
    <w:p w14:paraId="2E0C7115"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Rörelseresultat efter av- och nedskrivningar och finansiella poster uppgick till</w:t>
      </w:r>
      <w:r>
        <w:rPr>
          <w:rFonts w:ascii="Arial" w:hAnsi="Arial" w:cs="Arial"/>
          <w:sz w:val="20"/>
          <w:szCs w:val="20"/>
        </w:rPr>
        <w:t xml:space="preserve"> -3 111</w:t>
      </w:r>
      <w:r w:rsidRPr="00AC2EB7">
        <w:rPr>
          <w:rFonts w:ascii="Arial" w:hAnsi="Arial" w:cs="Arial"/>
          <w:sz w:val="20"/>
          <w:szCs w:val="20"/>
        </w:rPr>
        <w:t xml:space="preserve"> </w:t>
      </w:r>
      <w:r w:rsidRPr="00AC2EB7">
        <w:rPr>
          <w:rFonts w:ascii="Arial" w:hAnsi="Arial" w:cs="Arial"/>
          <w:spacing w:val="-8"/>
          <w:sz w:val="20"/>
          <w:szCs w:val="20"/>
        </w:rPr>
        <w:t>(</w:t>
      </w:r>
      <w:r>
        <w:rPr>
          <w:rFonts w:ascii="Arial" w:hAnsi="Arial" w:cs="Arial"/>
          <w:spacing w:val="-8"/>
          <w:sz w:val="20"/>
          <w:szCs w:val="20"/>
        </w:rPr>
        <w:t>-737</w:t>
      </w:r>
      <w:r w:rsidRPr="00AC2EB7">
        <w:rPr>
          <w:rFonts w:ascii="Arial" w:hAnsi="Arial" w:cs="Arial"/>
          <w:sz w:val="20"/>
          <w:szCs w:val="20"/>
        </w:rPr>
        <w:t>)</w:t>
      </w:r>
      <w:r w:rsidRPr="00AC2EB7">
        <w:rPr>
          <w:rFonts w:ascii="Arial" w:hAnsi="Arial" w:cs="Arial"/>
          <w:spacing w:val="9"/>
          <w:sz w:val="20"/>
          <w:szCs w:val="20"/>
        </w:rPr>
        <w:t xml:space="preserve"> </w:t>
      </w:r>
      <w:r w:rsidRPr="00AC2EB7">
        <w:rPr>
          <w:rFonts w:ascii="Arial" w:hAnsi="Arial" w:cs="Arial"/>
          <w:sz w:val="20"/>
          <w:szCs w:val="20"/>
        </w:rPr>
        <w:t>Tkr</w:t>
      </w:r>
    </w:p>
    <w:p w14:paraId="2E5B0A4C"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Periodens resultat per aktie uppgick till </w:t>
      </w:r>
      <w:r>
        <w:rPr>
          <w:rFonts w:ascii="Arial" w:hAnsi="Arial" w:cs="Arial"/>
          <w:sz w:val="20"/>
          <w:szCs w:val="20"/>
        </w:rPr>
        <w:t xml:space="preserve">-0,12 </w:t>
      </w:r>
      <w:r w:rsidRPr="00AC2EB7">
        <w:rPr>
          <w:rFonts w:ascii="Arial" w:hAnsi="Arial" w:cs="Arial"/>
          <w:sz w:val="20"/>
          <w:szCs w:val="20"/>
        </w:rPr>
        <w:t>(</w:t>
      </w:r>
      <w:r>
        <w:rPr>
          <w:rFonts w:ascii="Arial" w:hAnsi="Arial" w:cs="Arial"/>
          <w:sz w:val="20"/>
          <w:szCs w:val="20"/>
        </w:rPr>
        <w:t>-0,03</w:t>
      </w:r>
      <w:r w:rsidRPr="00AC2EB7">
        <w:rPr>
          <w:rFonts w:ascii="Arial" w:hAnsi="Arial" w:cs="Arial"/>
          <w:sz w:val="20"/>
          <w:szCs w:val="20"/>
        </w:rPr>
        <w:t>)</w:t>
      </w:r>
      <w:r w:rsidRPr="00AC2EB7">
        <w:rPr>
          <w:rFonts w:ascii="Arial" w:hAnsi="Arial" w:cs="Arial"/>
          <w:spacing w:val="3"/>
          <w:sz w:val="20"/>
          <w:szCs w:val="20"/>
        </w:rPr>
        <w:t xml:space="preserve"> </w:t>
      </w:r>
      <w:r w:rsidRPr="00AC2EB7">
        <w:rPr>
          <w:rFonts w:ascii="Arial" w:hAnsi="Arial" w:cs="Arial"/>
          <w:sz w:val="20"/>
          <w:szCs w:val="20"/>
        </w:rPr>
        <w:t>kr</w:t>
      </w:r>
    </w:p>
    <w:p w14:paraId="75A6CD03" w14:textId="77777777" w:rsidR="00337D6C" w:rsidRPr="00AC2EB7" w:rsidRDefault="00337D6C" w:rsidP="00337D6C">
      <w:pPr>
        <w:rPr>
          <w:i/>
          <w:iCs/>
          <w:sz w:val="20"/>
          <w:szCs w:val="20"/>
        </w:rPr>
      </w:pPr>
      <w:r w:rsidRPr="00AC2EB7">
        <w:rPr>
          <w:i/>
          <w:iCs/>
          <w:sz w:val="20"/>
          <w:szCs w:val="20"/>
        </w:rPr>
        <w:t>I parentes ovan beskrivs motsvarande period föregående år</w:t>
      </w:r>
    </w:p>
    <w:p w14:paraId="1B13F044" w14:textId="77777777" w:rsidR="00337D6C" w:rsidRPr="00AC2EB7" w:rsidRDefault="00337D6C" w:rsidP="00337D6C">
      <w:pPr>
        <w:rPr>
          <w:i/>
          <w:iCs/>
          <w:sz w:val="30"/>
          <w:szCs w:val="30"/>
        </w:rPr>
      </w:pPr>
    </w:p>
    <w:p w14:paraId="66F52410" w14:textId="77777777" w:rsidR="00337D6C" w:rsidRPr="00AC2EB7" w:rsidRDefault="00337D6C" w:rsidP="00337D6C">
      <w:pPr>
        <w:rPr>
          <w:i/>
          <w:iCs/>
          <w:sz w:val="30"/>
          <w:szCs w:val="30"/>
        </w:rPr>
      </w:pPr>
    </w:p>
    <w:p w14:paraId="65755EF7" w14:textId="77777777" w:rsidR="00337D6C" w:rsidRPr="00AC2EB7" w:rsidRDefault="00337D6C" w:rsidP="00337D6C">
      <w:pPr>
        <w:ind w:right="-142"/>
        <w:rPr>
          <w:b/>
          <w:bCs/>
          <w:sz w:val="30"/>
          <w:szCs w:val="30"/>
        </w:rPr>
      </w:pPr>
      <w:bookmarkStart w:id="0" w:name="_Hlk174960793"/>
      <w:r w:rsidRPr="00AC2EB7">
        <w:rPr>
          <w:b/>
          <w:bCs/>
          <w:sz w:val="30"/>
          <w:szCs w:val="30"/>
        </w:rPr>
        <w:t xml:space="preserve">Sammanfattning av moderbolaget rapportperioden </w:t>
      </w:r>
      <w:r w:rsidRPr="00AC2EB7">
        <w:rPr>
          <w:b/>
          <w:bCs/>
          <w:sz w:val="30"/>
          <w:szCs w:val="30"/>
        </w:rPr>
        <w:br/>
        <w:t>1 oktober – 31 december 202</w:t>
      </w:r>
      <w:r>
        <w:rPr>
          <w:b/>
          <w:bCs/>
          <w:sz w:val="30"/>
          <w:szCs w:val="30"/>
        </w:rPr>
        <w:t xml:space="preserve">5 </w:t>
      </w:r>
    </w:p>
    <w:p w14:paraId="62C90BCF" w14:textId="77777777" w:rsidR="00337D6C" w:rsidRPr="00AC2EB7" w:rsidRDefault="00337D6C" w:rsidP="00337D6C">
      <w:pPr>
        <w:pStyle w:val="Liststycke"/>
        <w:ind w:left="360" w:firstLine="0"/>
        <w:rPr>
          <w:rFonts w:ascii="Arial" w:hAnsi="Arial" w:cs="Arial"/>
          <w:sz w:val="20"/>
          <w:szCs w:val="20"/>
        </w:rPr>
      </w:pPr>
    </w:p>
    <w:p w14:paraId="55D6FB7C"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Nettoomsättningen för fjärde kvartalet uppgick till </w:t>
      </w:r>
      <w:r>
        <w:rPr>
          <w:rFonts w:ascii="Arial" w:hAnsi="Arial" w:cs="Arial"/>
          <w:sz w:val="20"/>
          <w:szCs w:val="20"/>
        </w:rPr>
        <w:t>11 678</w:t>
      </w:r>
      <w:r w:rsidRPr="00AC2EB7">
        <w:rPr>
          <w:rFonts w:ascii="Arial" w:hAnsi="Arial" w:cs="Arial"/>
          <w:sz w:val="20"/>
          <w:szCs w:val="20"/>
        </w:rPr>
        <w:t xml:space="preserve"> (</w:t>
      </w:r>
      <w:r>
        <w:rPr>
          <w:rFonts w:ascii="Arial" w:hAnsi="Arial" w:cs="Arial"/>
          <w:sz w:val="20"/>
          <w:szCs w:val="20"/>
        </w:rPr>
        <w:t>13 738</w:t>
      </w:r>
      <w:r w:rsidRPr="00AC2EB7">
        <w:rPr>
          <w:rFonts w:ascii="Arial" w:hAnsi="Arial" w:cs="Arial"/>
          <w:sz w:val="20"/>
          <w:szCs w:val="20"/>
        </w:rPr>
        <w:t>) Tkr</w:t>
      </w:r>
    </w:p>
    <w:p w14:paraId="337AA47B"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före av- och nedskrivningar och finansiella poster uppgick till </w:t>
      </w:r>
      <w:r>
        <w:rPr>
          <w:rFonts w:ascii="Arial" w:hAnsi="Arial" w:cs="Arial"/>
          <w:sz w:val="20"/>
          <w:szCs w:val="20"/>
        </w:rPr>
        <w:t>-2 944</w:t>
      </w:r>
      <w:r w:rsidRPr="00AC2EB7">
        <w:rPr>
          <w:rFonts w:ascii="Arial" w:hAnsi="Arial" w:cs="Arial"/>
          <w:spacing w:val="-9"/>
          <w:sz w:val="20"/>
          <w:szCs w:val="20"/>
        </w:rPr>
        <w:t xml:space="preserve"> </w:t>
      </w:r>
      <w:r w:rsidRPr="00AC2EB7">
        <w:rPr>
          <w:rFonts w:ascii="Arial" w:hAnsi="Arial" w:cs="Arial"/>
          <w:spacing w:val="-8"/>
          <w:sz w:val="20"/>
          <w:szCs w:val="20"/>
        </w:rPr>
        <w:t>(</w:t>
      </w:r>
      <w:r>
        <w:rPr>
          <w:rFonts w:ascii="Arial" w:hAnsi="Arial" w:cs="Arial"/>
          <w:spacing w:val="-8"/>
          <w:sz w:val="20"/>
          <w:szCs w:val="20"/>
        </w:rPr>
        <w:t>-4</w:t>
      </w:r>
      <w:r w:rsidRPr="00AC2EB7">
        <w:rPr>
          <w:rFonts w:ascii="Arial" w:hAnsi="Arial" w:cs="Arial"/>
          <w:sz w:val="20"/>
          <w:szCs w:val="20"/>
        </w:rPr>
        <w:t>)</w:t>
      </w:r>
      <w:r w:rsidRPr="00AC2EB7">
        <w:rPr>
          <w:rFonts w:ascii="Arial" w:hAnsi="Arial" w:cs="Arial"/>
          <w:spacing w:val="10"/>
          <w:sz w:val="20"/>
          <w:szCs w:val="20"/>
        </w:rPr>
        <w:t xml:space="preserve"> </w:t>
      </w:r>
      <w:r w:rsidRPr="00AC2EB7">
        <w:rPr>
          <w:rFonts w:ascii="Arial" w:hAnsi="Arial" w:cs="Arial"/>
          <w:sz w:val="20"/>
          <w:szCs w:val="20"/>
        </w:rPr>
        <w:t>Tkr</w:t>
      </w:r>
    </w:p>
    <w:p w14:paraId="0304D3C3"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efter av- och nedskrivningar och finansiella poster uppgick till </w:t>
      </w:r>
      <w:r>
        <w:rPr>
          <w:rFonts w:ascii="Arial" w:hAnsi="Arial" w:cs="Arial"/>
          <w:sz w:val="20"/>
          <w:szCs w:val="20"/>
        </w:rPr>
        <w:t>-3 090</w:t>
      </w:r>
      <w:r w:rsidRPr="00AC2EB7">
        <w:rPr>
          <w:rFonts w:ascii="Arial" w:hAnsi="Arial" w:cs="Arial"/>
          <w:sz w:val="20"/>
          <w:szCs w:val="20"/>
        </w:rPr>
        <w:t xml:space="preserve"> </w:t>
      </w:r>
      <w:r w:rsidRPr="00AC2EB7">
        <w:rPr>
          <w:rFonts w:ascii="Arial" w:hAnsi="Arial" w:cs="Arial"/>
          <w:spacing w:val="-8"/>
          <w:sz w:val="20"/>
          <w:szCs w:val="20"/>
        </w:rPr>
        <w:t>(</w:t>
      </w:r>
      <w:r>
        <w:rPr>
          <w:rFonts w:ascii="Arial" w:hAnsi="Arial" w:cs="Arial"/>
          <w:spacing w:val="-8"/>
          <w:sz w:val="20"/>
          <w:szCs w:val="20"/>
        </w:rPr>
        <w:t>-712</w:t>
      </w:r>
      <w:r w:rsidRPr="00AC2EB7">
        <w:rPr>
          <w:rFonts w:ascii="Arial" w:hAnsi="Arial" w:cs="Arial"/>
          <w:sz w:val="20"/>
          <w:szCs w:val="20"/>
        </w:rPr>
        <w:t>)</w:t>
      </w:r>
      <w:r w:rsidRPr="00AC2EB7">
        <w:rPr>
          <w:rFonts w:ascii="Arial" w:hAnsi="Arial" w:cs="Arial"/>
          <w:spacing w:val="9"/>
          <w:sz w:val="20"/>
          <w:szCs w:val="20"/>
        </w:rPr>
        <w:t xml:space="preserve"> </w:t>
      </w:r>
      <w:r w:rsidRPr="00AC2EB7">
        <w:rPr>
          <w:rFonts w:ascii="Arial" w:hAnsi="Arial" w:cs="Arial"/>
          <w:sz w:val="20"/>
          <w:szCs w:val="20"/>
        </w:rPr>
        <w:t>Tkr</w:t>
      </w:r>
    </w:p>
    <w:p w14:paraId="6B3C817B"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Periodens resultat per aktie uppgick till </w:t>
      </w:r>
      <w:r>
        <w:rPr>
          <w:rFonts w:ascii="Arial" w:hAnsi="Arial" w:cs="Arial"/>
          <w:sz w:val="20"/>
          <w:szCs w:val="20"/>
        </w:rPr>
        <w:t>-0,11</w:t>
      </w:r>
      <w:r w:rsidRPr="00AC2EB7">
        <w:rPr>
          <w:rFonts w:ascii="Arial" w:hAnsi="Arial" w:cs="Arial"/>
          <w:color w:val="595959" w:themeColor="text1" w:themeTint="A6"/>
          <w:spacing w:val="-6"/>
          <w:sz w:val="20"/>
          <w:szCs w:val="20"/>
        </w:rPr>
        <w:t xml:space="preserve"> </w:t>
      </w:r>
      <w:r w:rsidRPr="00AC2EB7">
        <w:rPr>
          <w:rFonts w:ascii="Arial" w:hAnsi="Arial" w:cs="Arial"/>
          <w:sz w:val="20"/>
          <w:szCs w:val="20"/>
        </w:rPr>
        <w:t>(</w:t>
      </w:r>
      <w:r>
        <w:rPr>
          <w:rFonts w:ascii="Arial" w:hAnsi="Arial" w:cs="Arial"/>
          <w:sz w:val="20"/>
          <w:szCs w:val="20"/>
        </w:rPr>
        <w:t>-0,03</w:t>
      </w:r>
      <w:r w:rsidRPr="00AC2EB7">
        <w:rPr>
          <w:rFonts w:ascii="Arial" w:hAnsi="Arial" w:cs="Arial"/>
          <w:sz w:val="20"/>
          <w:szCs w:val="20"/>
        </w:rPr>
        <w:t>) kr</w:t>
      </w:r>
    </w:p>
    <w:p w14:paraId="0B403AE2" w14:textId="77777777" w:rsidR="00337D6C" w:rsidRPr="00AC2EB7" w:rsidRDefault="00337D6C" w:rsidP="00337D6C">
      <w:pPr>
        <w:rPr>
          <w:i/>
          <w:iCs/>
          <w:sz w:val="20"/>
          <w:szCs w:val="20"/>
        </w:rPr>
      </w:pPr>
      <w:r w:rsidRPr="00AC2EB7">
        <w:rPr>
          <w:i/>
          <w:iCs/>
          <w:sz w:val="20"/>
          <w:szCs w:val="20"/>
        </w:rPr>
        <w:t>I parentes ovan beskrivs motsvarande period föregående år</w:t>
      </w:r>
    </w:p>
    <w:bookmarkEnd w:id="0"/>
    <w:p w14:paraId="3A1FA992" w14:textId="77777777" w:rsidR="00337D6C" w:rsidRPr="00AC2EB7" w:rsidRDefault="00337D6C" w:rsidP="00337D6C">
      <w:pPr>
        <w:rPr>
          <w:i/>
          <w:iCs/>
          <w:sz w:val="30"/>
          <w:szCs w:val="30"/>
        </w:rPr>
      </w:pPr>
    </w:p>
    <w:p w14:paraId="39DD5755" w14:textId="77777777" w:rsidR="00337D6C" w:rsidRPr="00AC2EB7" w:rsidRDefault="00337D6C" w:rsidP="00337D6C">
      <w:pPr>
        <w:ind w:right="-142"/>
        <w:rPr>
          <w:b/>
          <w:bCs/>
          <w:sz w:val="30"/>
          <w:szCs w:val="30"/>
        </w:rPr>
      </w:pPr>
      <w:r w:rsidRPr="00AC2EB7">
        <w:rPr>
          <w:b/>
          <w:bCs/>
          <w:sz w:val="30"/>
          <w:szCs w:val="30"/>
        </w:rPr>
        <w:t xml:space="preserve">Sammanfattning av koncernen rapportperioden </w:t>
      </w:r>
      <w:r w:rsidRPr="00AC2EB7">
        <w:rPr>
          <w:b/>
          <w:bCs/>
          <w:sz w:val="30"/>
          <w:szCs w:val="30"/>
        </w:rPr>
        <w:br/>
        <w:t>1 januari – 31 december 202</w:t>
      </w:r>
      <w:r>
        <w:rPr>
          <w:b/>
          <w:bCs/>
          <w:sz w:val="30"/>
          <w:szCs w:val="30"/>
        </w:rPr>
        <w:t>5</w:t>
      </w:r>
    </w:p>
    <w:p w14:paraId="7B6C1DC9" w14:textId="77777777" w:rsidR="00337D6C" w:rsidRPr="00AC2EB7" w:rsidRDefault="00337D6C" w:rsidP="00337D6C">
      <w:pPr>
        <w:pStyle w:val="Liststycke"/>
        <w:ind w:left="360" w:firstLine="0"/>
        <w:rPr>
          <w:rFonts w:ascii="Arial" w:hAnsi="Arial" w:cs="Arial"/>
          <w:sz w:val="20"/>
          <w:szCs w:val="20"/>
        </w:rPr>
      </w:pPr>
    </w:p>
    <w:p w14:paraId="7DBF93EA"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Nettoomsättningen för räkenskapsåret uppgick till</w:t>
      </w:r>
      <w:r>
        <w:rPr>
          <w:rFonts w:ascii="Arial" w:hAnsi="Arial" w:cs="Arial"/>
          <w:sz w:val="20"/>
          <w:szCs w:val="20"/>
        </w:rPr>
        <w:t xml:space="preserve"> 55 859 </w:t>
      </w:r>
      <w:r w:rsidRPr="00AC2EB7">
        <w:rPr>
          <w:rFonts w:ascii="Arial" w:hAnsi="Arial" w:cs="Arial"/>
          <w:sz w:val="20"/>
          <w:szCs w:val="20"/>
        </w:rPr>
        <w:t>(</w:t>
      </w:r>
      <w:r>
        <w:rPr>
          <w:rFonts w:ascii="Arial" w:hAnsi="Arial" w:cs="Arial"/>
          <w:sz w:val="20"/>
          <w:szCs w:val="20"/>
        </w:rPr>
        <w:t>43 085</w:t>
      </w:r>
      <w:r w:rsidRPr="00AC2EB7">
        <w:rPr>
          <w:rFonts w:ascii="Arial" w:hAnsi="Arial" w:cs="Arial"/>
          <w:sz w:val="20"/>
          <w:szCs w:val="20"/>
        </w:rPr>
        <w:t>) Tkr</w:t>
      </w:r>
    </w:p>
    <w:p w14:paraId="399A676D"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före av- och nedskrivningar och finansiella poster uppgick till </w:t>
      </w:r>
      <w:r>
        <w:rPr>
          <w:rFonts w:ascii="Arial" w:hAnsi="Arial" w:cs="Arial"/>
          <w:sz w:val="20"/>
          <w:szCs w:val="20"/>
        </w:rPr>
        <w:t>-4 695</w:t>
      </w:r>
      <w:r w:rsidRPr="00AC2EB7">
        <w:rPr>
          <w:rFonts w:ascii="Arial" w:hAnsi="Arial" w:cs="Arial"/>
          <w:spacing w:val="-9"/>
          <w:sz w:val="20"/>
          <w:szCs w:val="20"/>
        </w:rPr>
        <w:t xml:space="preserve"> </w:t>
      </w:r>
      <w:r w:rsidRPr="00AC2EB7">
        <w:rPr>
          <w:rFonts w:ascii="Arial" w:hAnsi="Arial" w:cs="Arial"/>
          <w:spacing w:val="-8"/>
          <w:sz w:val="20"/>
          <w:szCs w:val="20"/>
        </w:rPr>
        <w:t>(</w:t>
      </w:r>
      <w:r>
        <w:rPr>
          <w:rFonts w:ascii="Arial" w:hAnsi="Arial" w:cs="Arial"/>
          <w:spacing w:val="-8"/>
          <w:sz w:val="20"/>
          <w:szCs w:val="20"/>
        </w:rPr>
        <w:t>1 315</w:t>
      </w:r>
      <w:r w:rsidRPr="00AC2EB7">
        <w:rPr>
          <w:rFonts w:ascii="Arial" w:hAnsi="Arial" w:cs="Arial"/>
          <w:sz w:val="20"/>
          <w:szCs w:val="20"/>
        </w:rPr>
        <w:t>)</w:t>
      </w:r>
      <w:r w:rsidRPr="00AC2EB7">
        <w:rPr>
          <w:rFonts w:ascii="Arial" w:hAnsi="Arial" w:cs="Arial"/>
          <w:spacing w:val="10"/>
          <w:sz w:val="20"/>
          <w:szCs w:val="20"/>
        </w:rPr>
        <w:t xml:space="preserve"> </w:t>
      </w:r>
      <w:r w:rsidRPr="00AC2EB7">
        <w:rPr>
          <w:rFonts w:ascii="Arial" w:hAnsi="Arial" w:cs="Arial"/>
          <w:sz w:val="20"/>
          <w:szCs w:val="20"/>
        </w:rPr>
        <w:t>Tkr</w:t>
      </w:r>
    </w:p>
    <w:p w14:paraId="737E9E55"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efter av- och nedskrivningar och finansiella poster uppgick till </w:t>
      </w:r>
      <w:r>
        <w:rPr>
          <w:rFonts w:ascii="Arial" w:hAnsi="Arial" w:cs="Arial"/>
          <w:sz w:val="20"/>
          <w:szCs w:val="20"/>
        </w:rPr>
        <w:t>-8 090</w:t>
      </w:r>
      <w:r w:rsidRPr="00AC2EB7">
        <w:rPr>
          <w:rFonts w:ascii="Arial" w:hAnsi="Arial" w:cs="Arial"/>
          <w:sz w:val="20"/>
          <w:szCs w:val="20"/>
        </w:rPr>
        <w:t xml:space="preserve"> </w:t>
      </w:r>
      <w:r w:rsidRPr="00AC2EB7">
        <w:rPr>
          <w:rFonts w:ascii="Arial" w:hAnsi="Arial" w:cs="Arial"/>
          <w:spacing w:val="-8"/>
          <w:sz w:val="20"/>
          <w:szCs w:val="20"/>
        </w:rPr>
        <w:t>(</w:t>
      </w:r>
      <w:r>
        <w:rPr>
          <w:rFonts w:ascii="Arial" w:hAnsi="Arial" w:cs="Arial"/>
          <w:spacing w:val="-8"/>
          <w:sz w:val="20"/>
          <w:szCs w:val="20"/>
        </w:rPr>
        <w:t>-1 439</w:t>
      </w:r>
      <w:r w:rsidRPr="00AC2EB7">
        <w:rPr>
          <w:rFonts w:ascii="Arial" w:hAnsi="Arial" w:cs="Arial"/>
          <w:sz w:val="20"/>
          <w:szCs w:val="20"/>
        </w:rPr>
        <w:t>)</w:t>
      </w:r>
      <w:r w:rsidRPr="00AC2EB7">
        <w:rPr>
          <w:rFonts w:ascii="Arial" w:hAnsi="Arial" w:cs="Arial"/>
          <w:spacing w:val="9"/>
          <w:sz w:val="20"/>
          <w:szCs w:val="20"/>
        </w:rPr>
        <w:t xml:space="preserve"> </w:t>
      </w:r>
      <w:r w:rsidRPr="00AC2EB7">
        <w:rPr>
          <w:rFonts w:ascii="Arial" w:hAnsi="Arial" w:cs="Arial"/>
          <w:sz w:val="20"/>
          <w:szCs w:val="20"/>
        </w:rPr>
        <w:t>Tkr</w:t>
      </w:r>
    </w:p>
    <w:p w14:paraId="5B8D05A2"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Summa eget kapital vid periodens slut uppgick till </w:t>
      </w:r>
      <w:r>
        <w:rPr>
          <w:rFonts w:ascii="Arial" w:hAnsi="Arial" w:cs="Arial"/>
          <w:sz w:val="20"/>
          <w:szCs w:val="20"/>
        </w:rPr>
        <w:t>41 116</w:t>
      </w:r>
      <w:r w:rsidRPr="00AC2EB7">
        <w:rPr>
          <w:rFonts w:ascii="Arial" w:hAnsi="Arial" w:cs="Arial"/>
          <w:sz w:val="20"/>
          <w:szCs w:val="20"/>
        </w:rPr>
        <w:t xml:space="preserve"> (</w:t>
      </w:r>
      <w:r>
        <w:rPr>
          <w:rFonts w:ascii="Arial" w:hAnsi="Arial" w:cs="Arial"/>
          <w:sz w:val="20"/>
          <w:szCs w:val="20"/>
        </w:rPr>
        <w:t>23 706</w:t>
      </w:r>
      <w:r w:rsidRPr="00AC2EB7">
        <w:rPr>
          <w:rFonts w:ascii="Arial" w:hAnsi="Arial" w:cs="Arial"/>
          <w:sz w:val="20"/>
          <w:szCs w:val="20"/>
        </w:rPr>
        <w:t>) Tkr</w:t>
      </w:r>
    </w:p>
    <w:p w14:paraId="4C1E0146"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Periodens resultat per aktie uppgick till </w:t>
      </w:r>
      <w:r>
        <w:rPr>
          <w:rFonts w:ascii="Arial" w:hAnsi="Arial" w:cs="Arial"/>
          <w:sz w:val="20"/>
          <w:szCs w:val="20"/>
        </w:rPr>
        <w:t xml:space="preserve">-0,30 </w:t>
      </w:r>
      <w:r w:rsidRPr="00AC2EB7">
        <w:rPr>
          <w:rFonts w:ascii="Arial" w:hAnsi="Arial" w:cs="Arial"/>
          <w:sz w:val="20"/>
          <w:szCs w:val="20"/>
        </w:rPr>
        <w:t>(</w:t>
      </w:r>
      <w:r>
        <w:rPr>
          <w:rFonts w:ascii="Arial" w:hAnsi="Arial" w:cs="Arial"/>
          <w:sz w:val="20"/>
          <w:szCs w:val="20"/>
        </w:rPr>
        <w:t>-0,06</w:t>
      </w:r>
      <w:r w:rsidRPr="00AC2EB7">
        <w:rPr>
          <w:rFonts w:ascii="Arial" w:hAnsi="Arial" w:cs="Arial"/>
          <w:sz w:val="20"/>
          <w:szCs w:val="20"/>
        </w:rPr>
        <w:t>) kr</w:t>
      </w:r>
    </w:p>
    <w:p w14:paraId="3623CA13"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Soliditeten uppgick till </w:t>
      </w:r>
      <w:r>
        <w:rPr>
          <w:rFonts w:ascii="Arial" w:hAnsi="Arial" w:cs="Arial"/>
          <w:sz w:val="20"/>
          <w:szCs w:val="20"/>
        </w:rPr>
        <w:t>72</w:t>
      </w:r>
      <w:r w:rsidRPr="00AC2EB7">
        <w:rPr>
          <w:rFonts w:ascii="Arial" w:hAnsi="Arial" w:cs="Arial"/>
          <w:sz w:val="20"/>
          <w:szCs w:val="20"/>
        </w:rPr>
        <w:t xml:space="preserve"> % (</w:t>
      </w:r>
      <w:r>
        <w:rPr>
          <w:rFonts w:ascii="Arial" w:hAnsi="Arial" w:cs="Arial"/>
          <w:sz w:val="20"/>
          <w:szCs w:val="20"/>
        </w:rPr>
        <w:t>58</w:t>
      </w:r>
      <w:r w:rsidRPr="00AC2EB7">
        <w:rPr>
          <w:rFonts w:ascii="Arial" w:hAnsi="Arial" w:cs="Arial"/>
          <w:sz w:val="20"/>
          <w:szCs w:val="20"/>
        </w:rPr>
        <w:t xml:space="preserve"> %)</w:t>
      </w:r>
    </w:p>
    <w:p w14:paraId="160C071B" w14:textId="77777777" w:rsidR="00337D6C" w:rsidRPr="00AC2EB7" w:rsidRDefault="00337D6C" w:rsidP="00337D6C">
      <w:pPr>
        <w:rPr>
          <w:i/>
          <w:iCs/>
          <w:sz w:val="20"/>
          <w:szCs w:val="20"/>
        </w:rPr>
      </w:pPr>
      <w:r w:rsidRPr="00AC2EB7">
        <w:rPr>
          <w:i/>
          <w:iCs/>
          <w:sz w:val="20"/>
          <w:szCs w:val="20"/>
        </w:rPr>
        <w:t>I parentes ovan beskrivs motsvarande period föregående år</w:t>
      </w:r>
    </w:p>
    <w:p w14:paraId="6679663B" w14:textId="77777777" w:rsidR="00337D6C" w:rsidRPr="00AC2EB7" w:rsidRDefault="00337D6C" w:rsidP="00337D6C">
      <w:pPr>
        <w:rPr>
          <w:i/>
          <w:iCs/>
          <w:sz w:val="30"/>
          <w:szCs w:val="30"/>
        </w:rPr>
      </w:pPr>
    </w:p>
    <w:p w14:paraId="5CF70E68" w14:textId="77777777" w:rsidR="00337D6C" w:rsidRPr="00AC2EB7" w:rsidRDefault="00337D6C" w:rsidP="00337D6C">
      <w:pPr>
        <w:ind w:right="-142"/>
        <w:rPr>
          <w:b/>
          <w:bCs/>
          <w:sz w:val="30"/>
          <w:szCs w:val="30"/>
        </w:rPr>
      </w:pPr>
      <w:r w:rsidRPr="00AC2EB7">
        <w:rPr>
          <w:b/>
          <w:bCs/>
          <w:sz w:val="30"/>
          <w:szCs w:val="30"/>
        </w:rPr>
        <w:t xml:space="preserve">Sammanfattning av moderbolaget rapportperioden </w:t>
      </w:r>
      <w:r w:rsidRPr="00AC2EB7">
        <w:rPr>
          <w:b/>
          <w:bCs/>
          <w:sz w:val="30"/>
          <w:szCs w:val="30"/>
        </w:rPr>
        <w:br/>
        <w:t>1 januari – 31 december 202</w:t>
      </w:r>
      <w:r>
        <w:rPr>
          <w:b/>
          <w:bCs/>
          <w:sz w:val="30"/>
          <w:szCs w:val="30"/>
        </w:rPr>
        <w:t>5</w:t>
      </w:r>
    </w:p>
    <w:p w14:paraId="0CF092A9" w14:textId="77777777" w:rsidR="00337D6C" w:rsidRPr="00AC2EB7" w:rsidRDefault="00337D6C" w:rsidP="00337D6C">
      <w:pPr>
        <w:pStyle w:val="Liststycke"/>
        <w:ind w:left="360" w:firstLine="0"/>
        <w:rPr>
          <w:rFonts w:ascii="Arial" w:hAnsi="Arial" w:cs="Arial"/>
          <w:sz w:val="20"/>
          <w:szCs w:val="20"/>
        </w:rPr>
      </w:pPr>
    </w:p>
    <w:p w14:paraId="04371FEF"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Nettoomsättningen för räkenskapsåret uppgick till </w:t>
      </w:r>
      <w:r>
        <w:rPr>
          <w:rFonts w:ascii="Arial" w:hAnsi="Arial" w:cs="Arial"/>
          <w:sz w:val="20"/>
          <w:szCs w:val="20"/>
        </w:rPr>
        <w:t>52 853</w:t>
      </w:r>
      <w:r w:rsidRPr="00AC2EB7">
        <w:rPr>
          <w:rFonts w:ascii="Arial" w:hAnsi="Arial" w:cs="Arial"/>
          <w:sz w:val="20"/>
          <w:szCs w:val="20"/>
        </w:rPr>
        <w:t xml:space="preserve"> (</w:t>
      </w:r>
      <w:r>
        <w:rPr>
          <w:rFonts w:ascii="Arial" w:hAnsi="Arial" w:cs="Arial"/>
          <w:sz w:val="20"/>
          <w:szCs w:val="20"/>
        </w:rPr>
        <w:t>40 099</w:t>
      </w:r>
      <w:r w:rsidRPr="00AC2EB7">
        <w:rPr>
          <w:rFonts w:ascii="Arial" w:hAnsi="Arial" w:cs="Arial"/>
          <w:sz w:val="20"/>
          <w:szCs w:val="20"/>
        </w:rPr>
        <w:t>) Tkr</w:t>
      </w:r>
    </w:p>
    <w:p w14:paraId="51D0D2B0"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före av- och nedskrivningar och finansiella poster uppgick till </w:t>
      </w:r>
      <w:r>
        <w:rPr>
          <w:rFonts w:ascii="Arial" w:hAnsi="Arial" w:cs="Arial"/>
          <w:sz w:val="20"/>
          <w:szCs w:val="20"/>
        </w:rPr>
        <w:t>-1 948</w:t>
      </w:r>
      <w:r w:rsidRPr="00AC2EB7">
        <w:rPr>
          <w:rFonts w:ascii="Arial" w:hAnsi="Arial" w:cs="Arial"/>
          <w:spacing w:val="-9"/>
          <w:sz w:val="20"/>
          <w:szCs w:val="20"/>
        </w:rPr>
        <w:t xml:space="preserve"> </w:t>
      </w:r>
      <w:r w:rsidRPr="00AC2EB7">
        <w:rPr>
          <w:rFonts w:ascii="Arial" w:hAnsi="Arial" w:cs="Arial"/>
          <w:spacing w:val="-8"/>
          <w:sz w:val="20"/>
          <w:szCs w:val="20"/>
        </w:rPr>
        <w:t>(</w:t>
      </w:r>
      <w:r>
        <w:rPr>
          <w:rFonts w:ascii="Arial" w:hAnsi="Arial" w:cs="Arial"/>
          <w:spacing w:val="-8"/>
          <w:sz w:val="20"/>
          <w:szCs w:val="20"/>
        </w:rPr>
        <w:t>1 436</w:t>
      </w:r>
      <w:r w:rsidRPr="00AC2EB7">
        <w:rPr>
          <w:rFonts w:ascii="Arial" w:hAnsi="Arial" w:cs="Arial"/>
          <w:sz w:val="20"/>
          <w:szCs w:val="20"/>
        </w:rPr>
        <w:t>)</w:t>
      </w:r>
      <w:r w:rsidRPr="00AC2EB7">
        <w:rPr>
          <w:rFonts w:ascii="Arial" w:hAnsi="Arial" w:cs="Arial"/>
          <w:spacing w:val="10"/>
          <w:sz w:val="20"/>
          <w:szCs w:val="20"/>
        </w:rPr>
        <w:t xml:space="preserve"> </w:t>
      </w:r>
      <w:r w:rsidRPr="00AC2EB7">
        <w:rPr>
          <w:rFonts w:ascii="Arial" w:hAnsi="Arial" w:cs="Arial"/>
          <w:sz w:val="20"/>
          <w:szCs w:val="20"/>
        </w:rPr>
        <w:t>Tkr</w:t>
      </w:r>
    </w:p>
    <w:p w14:paraId="532F92FC"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Rörelseresultat efter av- och nedskrivningar och finansiella poster uppgick till </w:t>
      </w:r>
      <w:r>
        <w:rPr>
          <w:rFonts w:ascii="Arial" w:hAnsi="Arial" w:cs="Arial"/>
          <w:sz w:val="20"/>
          <w:szCs w:val="20"/>
        </w:rPr>
        <w:t>-5 153</w:t>
      </w:r>
      <w:r w:rsidRPr="00AC2EB7">
        <w:rPr>
          <w:rFonts w:ascii="Arial" w:hAnsi="Arial" w:cs="Arial"/>
          <w:sz w:val="20"/>
          <w:szCs w:val="20"/>
        </w:rPr>
        <w:t xml:space="preserve"> </w:t>
      </w:r>
      <w:r w:rsidRPr="00AC2EB7">
        <w:rPr>
          <w:rFonts w:ascii="Arial" w:hAnsi="Arial" w:cs="Arial"/>
          <w:spacing w:val="-8"/>
          <w:sz w:val="20"/>
          <w:szCs w:val="20"/>
        </w:rPr>
        <w:t>(</w:t>
      </w:r>
      <w:r>
        <w:rPr>
          <w:rFonts w:ascii="Arial" w:hAnsi="Arial" w:cs="Arial"/>
          <w:spacing w:val="-8"/>
          <w:sz w:val="20"/>
          <w:szCs w:val="20"/>
        </w:rPr>
        <w:t>-1 194</w:t>
      </w:r>
      <w:r w:rsidRPr="00AC2EB7">
        <w:rPr>
          <w:rFonts w:ascii="Arial" w:hAnsi="Arial" w:cs="Arial"/>
          <w:sz w:val="20"/>
          <w:szCs w:val="20"/>
        </w:rPr>
        <w:t>)</w:t>
      </w:r>
      <w:r w:rsidRPr="00AC2EB7">
        <w:rPr>
          <w:rFonts w:ascii="Arial" w:hAnsi="Arial" w:cs="Arial"/>
          <w:spacing w:val="9"/>
          <w:sz w:val="20"/>
          <w:szCs w:val="20"/>
        </w:rPr>
        <w:t xml:space="preserve"> </w:t>
      </w:r>
      <w:r w:rsidRPr="00AC2EB7">
        <w:rPr>
          <w:rFonts w:ascii="Arial" w:hAnsi="Arial" w:cs="Arial"/>
          <w:sz w:val="20"/>
          <w:szCs w:val="20"/>
        </w:rPr>
        <w:t>Tkr</w:t>
      </w:r>
    </w:p>
    <w:p w14:paraId="6326C0B6"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Summa eget kapital vid periodens slut uppgick till </w:t>
      </w:r>
      <w:r>
        <w:rPr>
          <w:rFonts w:ascii="Arial" w:hAnsi="Arial" w:cs="Arial"/>
          <w:sz w:val="20"/>
          <w:szCs w:val="20"/>
        </w:rPr>
        <w:t>44 299</w:t>
      </w:r>
      <w:r w:rsidRPr="00AC2EB7">
        <w:rPr>
          <w:rFonts w:ascii="Arial" w:hAnsi="Arial" w:cs="Arial"/>
          <w:sz w:val="20"/>
          <w:szCs w:val="20"/>
        </w:rPr>
        <w:t xml:space="preserve"> (</w:t>
      </w:r>
      <w:r>
        <w:rPr>
          <w:rFonts w:ascii="Arial" w:hAnsi="Arial" w:cs="Arial"/>
          <w:sz w:val="20"/>
          <w:szCs w:val="20"/>
        </w:rPr>
        <w:t>23 950</w:t>
      </w:r>
      <w:r w:rsidRPr="00AC2EB7">
        <w:rPr>
          <w:rFonts w:ascii="Arial" w:hAnsi="Arial" w:cs="Arial"/>
          <w:sz w:val="20"/>
          <w:szCs w:val="20"/>
        </w:rPr>
        <w:t>) Tkr</w:t>
      </w:r>
    </w:p>
    <w:p w14:paraId="60BBE6EC"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Periodens resultat per aktie uppgick till </w:t>
      </w:r>
      <w:r>
        <w:rPr>
          <w:rFonts w:ascii="Arial" w:hAnsi="Arial" w:cs="Arial"/>
          <w:sz w:val="20"/>
          <w:szCs w:val="20"/>
        </w:rPr>
        <w:t>-0,19</w:t>
      </w:r>
      <w:r w:rsidRPr="00AC2EB7">
        <w:rPr>
          <w:rFonts w:ascii="Arial" w:hAnsi="Arial" w:cs="Arial"/>
          <w:color w:val="595959" w:themeColor="text1" w:themeTint="A6"/>
          <w:spacing w:val="-6"/>
          <w:sz w:val="20"/>
          <w:szCs w:val="20"/>
        </w:rPr>
        <w:t xml:space="preserve"> </w:t>
      </w:r>
      <w:r w:rsidRPr="00AC2EB7">
        <w:rPr>
          <w:rFonts w:ascii="Arial" w:hAnsi="Arial" w:cs="Arial"/>
          <w:sz w:val="20"/>
          <w:szCs w:val="20"/>
        </w:rPr>
        <w:t>(</w:t>
      </w:r>
      <w:r>
        <w:rPr>
          <w:rFonts w:ascii="Arial" w:hAnsi="Arial" w:cs="Arial"/>
          <w:sz w:val="20"/>
          <w:szCs w:val="20"/>
        </w:rPr>
        <w:t>-0,05</w:t>
      </w:r>
      <w:r w:rsidRPr="00AC2EB7">
        <w:rPr>
          <w:rFonts w:ascii="Arial" w:hAnsi="Arial" w:cs="Arial"/>
          <w:sz w:val="20"/>
          <w:szCs w:val="20"/>
        </w:rPr>
        <w:t>) kr</w:t>
      </w:r>
    </w:p>
    <w:p w14:paraId="2396DFA7" w14:textId="77777777" w:rsidR="00337D6C" w:rsidRPr="00AC2EB7" w:rsidRDefault="00337D6C" w:rsidP="00337D6C">
      <w:pPr>
        <w:pStyle w:val="Liststycke"/>
        <w:numPr>
          <w:ilvl w:val="0"/>
          <w:numId w:val="1"/>
        </w:numPr>
        <w:rPr>
          <w:rFonts w:ascii="Arial" w:hAnsi="Arial" w:cs="Arial"/>
          <w:sz w:val="20"/>
          <w:szCs w:val="20"/>
        </w:rPr>
      </w:pPr>
      <w:r w:rsidRPr="00AC2EB7">
        <w:rPr>
          <w:rFonts w:ascii="Arial" w:hAnsi="Arial" w:cs="Arial"/>
          <w:sz w:val="20"/>
          <w:szCs w:val="20"/>
        </w:rPr>
        <w:t xml:space="preserve">Soliditeten uppgick till </w:t>
      </w:r>
      <w:r>
        <w:rPr>
          <w:rFonts w:ascii="Arial" w:hAnsi="Arial" w:cs="Arial"/>
          <w:sz w:val="20"/>
          <w:szCs w:val="20"/>
        </w:rPr>
        <w:t>76</w:t>
      </w:r>
      <w:r w:rsidRPr="00AC2EB7">
        <w:rPr>
          <w:rFonts w:ascii="Arial" w:hAnsi="Arial" w:cs="Arial"/>
          <w:sz w:val="20"/>
          <w:szCs w:val="20"/>
        </w:rPr>
        <w:t xml:space="preserve"> % (</w:t>
      </w:r>
      <w:r>
        <w:rPr>
          <w:rFonts w:ascii="Arial" w:hAnsi="Arial" w:cs="Arial"/>
          <w:sz w:val="20"/>
          <w:szCs w:val="20"/>
        </w:rPr>
        <w:t>60</w:t>
      </w:r>
      <w:r w:rsidRPr="00AC2EB7">
        <w:rPr>
          <w:rFonts w:ascii="Arial" w:hAnsi="Arial" w:cs="Arial"/>
          <w:sz w:val="20"/>
          <w:szCs w:val="20"/>
        </w:rPr>
        <w:t xml:space="preserve"> %)</w:t>
      </w:r>
    </w:p>
    <w:p w14:paraId="6E0EBD11" w14:textId="77777777" w:rsidR="00337D6C" w:rsidRPr="00AC2EB7" w:rsidRDefault="00337D6C" w:rsidP="00337D6C">
      <w:pPr>
        <w:rPr>
          <w:i/>
          <w:iCs/>
          <w:sz w:val="20"/>
          <w:szCs w:val="20"/>
        </w:rPr>
      </w:pPr>
      <w:r w:rsidRPr="00AC2EB7">
        <w:rPr>
          <w:i/>
          <w:iCs/>
          <w:sz w:val="20"/>
          <w:szCs w:val="20"/>
        </w:rPr>
        <w:t>I parentes ovan beskrivs motsvarande period föregående år</w:t>
      </w:r>
    </w:p>
    <w:p w14:paraId="1E7164FE" w14:textId="77777777" w:rsidR="00337D6C" w:rsidRDefault="00337D6C" w:rsidP="00337D6C">
      <w:pPr>
        <w:pStyle w:val="Normalwebb"/>
        <w:spacing w:before="192" w:beforeAutospacing="0" w:after="0" w:afterAutospacing="0"/>
        <w:ind w:right="289"/>
        <w:rPr>
          <w:rFonts w:ascii="Arial" w:hAnsi="Arial" w:cs="Arial"/>
          <w:b/>
          <w:bCs/>
          <w:color w:val="222222"/>
          <w:sz w:val="30"/>
          <w:szCs w:val="30"/>
        </w:rPr>
      </w:pPr>
      <w:r w:rsidRPr="00AC2EB7">
        <w:rPr>
          <w:rFonts w:ascii="Arial" w:hAnsi="Arial" w:cs="Arial"/>
          <w:b/>
          <w:bCs/>
          <w:color w:val="222222"/>
          <w:sz w:val="30"/>
          <w:szCs w:val="30"/>
        </w:rPr>
        <w:lastRenderedPageBreak/>
        <w:t>Väsentliga händelser under perioden</w:t>
      </w:r>
    </w:p>
    <w:p w14:paraId="7F3C2F6C"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proofErr w:type="spellStart"/>
      <w:r w:rsidRPr="005B3704">
        <w:rPr>
          <w:rFonts w:ascii="Arial" w:hAnsi="Arial" w:cs="Arial"/>
          <w:color w:val="222222"/>
          <w:sz w:val="20"/>
          <w:szCs w:val="20"/>
        </w:rPr>
        <w:t>Enrads</w:t>
      </w:r>
      <w:proofErr w:type="spellEnd"/>
      <w:r w:rsidRPr="005B3704">
        <w:rPr>
          <w:rFonts w:ascii="Arial" w:hAnsi="Arial" w:cs="Arial"/>
          <w:color w:val="222222"/>
          <w:sz w:val="20"/>
          <w:szCs w:val="20"/>
        </w:rPr>
        <w:t xml:space="preserve"> styrelse har föreslagit en fullt säkerställd företrädesemission av aktier om cirka 25,7 MSEK med tillhörande garantiemission om cirka 330 TSEK. Extra bolagsstämma har beslutat att genomföra emissionerna. Enrad har med anledning av detta offentliggjort ett förenklat informationsdokument. Teckningsperioden påg</w:t>
      </w:r>
      <w:r>
        <w:rPr>
          <w:rFonts w:ascii="Arial" w:hAnsi="Arial" w:cs="Arial"/>
          <w:color w:val="222222"/>
          <w:sz w:val="20"/>
          <w:szCs w:val="20"/>
        </w:rPr>
        <w:t>ick</w:t>
      </w:r>
      <w:r w:rsidRPr="005B3704">
        <w:rPr>
          <w:rFonts w:ascii="Arial" w:hAnsi="Arial" w:cs="Arial"/>
          <w:color w:val="222222"/>
          <w:sz w:val="20"/>
          <w:szCs w:val="20"/>
        </w:rPr>
        <w:t xml:space="preserve"> vid tidpunkten för bokslutskommunikén</w:t>
      </w:r>
      <w:r>
        <w:rPr>
          <w:rFonts w:ascii="Arial" w:hAnsi="Arial" w:cs="Arial"/>
          <w:color w:val="222222"/>
          <w:sz w:val="20"/>
          <w:szCs w:val="20"/>
        </w:rPr>
        <w:t xml:space="preserve"> 2024.</w:t>
      </w:r>
    </w:p>
    <w:p w14:paraId="42F4498E"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5B3704">
        <w:rPr>
          <w:rFonts w:ascii="Arial" w:hAnsi="Arial" w:cs="Arial"/>
          <w:color w:val="222222"/>
          <w:sz w:val="20"/>
          <w:szCs w:val="20"/>
        </w:rPr>
        <w:t>Enrad startar Enrad B.V. i Nederländerna.</w:t>
      </w:r>
    </w:p>
    <w:p w14:paraId="30B6A839"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6203C3">
        <w:rPr>
          <w:rFonts w:ascii="Arial" w:hAnsi="Arial" w:cs="Arial"/>
          <w:color w:val="222222"/>
          <w:sz w:val="20"/>
          <w:szCs w:val="20"/>
        </w:rPr>
        <w:t xml:space="preserve">Enrad AB ansökte om notering på NGM. </w:t>
      </w:r>
    </w:p>
    <w:p w14:paraId="6A60722A"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6203C3">
        <w:rPr>
          <w:rFonts w:ascii="Arial" w:hAnsi="Arial" w:cs="Arial"/>
          <w:color w:val="222222"/>
          <w:sz w:val="20"/>
          <w:szCs w:val="20"/>
        </w:rPr>
        <w:t xml:space="preserve">Enrad AB erhöll villkorat godkännande för notering på NGM. </w:t>
      </w:r>
    </w:p>
    <w:p w14:paraId="11089ED6"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6203C3">
        <w:rPr>
          <w:rFonts w:ascii="Arial" w:hAnsi="Arial" w:cs="Arial"/>
          <w:color w:val="222222"/>
          <w:sz w:val="20"/>
          <w:szCs w:val="20"/>
        </w:rPr>
        <w:t xml:space="preserve">Styrelsen för Enrad AS beslutade att göra ett internt byte av posten som daglig leder (vd). Simen Gurholt Evensen, har tagit över rollen som daglig leder (vd) för Enrad AS. </w:t>
      </w:r>
    </w:p>
    <w:p w14:paraId="12C22899"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6203C3">
        <w:rPr>
          <w:rFonts w:ascii="Arial" w:hAnsi="Arial" w:cs="Arial"/>
          <w:color w:val="222222"/>
          <w:sz w:val="20"/>
          <w:szCs w:val="20"/>
        </w:rPr>
        <w:t xml:space="preserve">Enrad meddelade att Spotlight har godkänt bolagets ansökan om </w:t>
      </w:r>
      <w:proofErr w:type="spellStart"/>
      <w:r w:rsidRPr="006203C3">
        <w:rPr>
          <w:rFonts w:ascii="Arial" w:hAnsi="Arial" w:cs="Arial"/>
          <w:color w:val="222222"/>
          <w:sz w:val="20"/>
          <w:szCs w:val="20"/>
        </w:rPr>
        <w:t>avnotering</w:t>
      </w:r>
      <w:proofErr w:type="spellEnd"/>
      <w:r w:rsidRPr="006203C3">
        <w:rPr>
          <w:rFonts w:ascii="Arial" w:hAnsi="Arial" w:cs="Arial"/>
          <w:color w:val="222222"/>
          <w:sz w:val="20"/>
          <w:szCs w:val="20"/>
        </w:rPr>
        <w:t xml:space="preserve"> från Spotlight Stock Market. Sista handelsdag på Spotlight Stock Market var 10 oktober 2025. Enrad har i stället noterats på NGM Nordic SME med första handelsdag den 13 oktober 2025. </w:t>
      </w:r>
    </w:p>
    <w:p w14:paraId="3D9C398B" w14:textId="77777777" w:rsidR="00337D6C" w:rsidRDefault="00337D6C" w:rsidP="00337D6C">
      <w:pPr>
        <w:pStyle w:val="Normalwebb"/>
        <w:numPr>
          <w:ilvl w:val="0"/>
          <w:numId w:val="8"/>
        </w:numPr>
        <w:spacing w:before="192" w:beforeAutospacing="0" w:after="0" w:afterAutospacing="0"/>
        <w:ind w:right="289"/>
        <w:rPr>
          <w:rFonts w:ascii="Arial" w:hAnsi="Arial" w:cs="Arial"/>
          <w:color w:val="222222"/>
          <w:sz w:val="20"/>
          <w:szCs w:val="20"/>
        </w:rPr>
      </w:pPr>
      <w:r w:rsidRPr="006203C3">
        <w:rPr>
          <w:rFonts w:ascii="Arial" w:hAnsi="Arial" w:cs="Arial"/>
          <w:color w:val="222222"/>
          <w:sz w:val="20"/>
          <w:szCs w:val="20"/>
        </w:rPr>
        <w:t xml:space="preserve">Enrad och </w:t>
      </w:r>
      <w:proofErr w:type="spellStart"/>
      <w:r w:rsidRPr="006203C3">
        <w:rPr>
          <w:rFonts w:ascii="Arial" w:hAnsi="Arial" w:cs="Arial"/>
          <w:color w:val="222222"/>
          <w:sz w:val="20"/>
          <w:szCs w:val="20"/>
        </w:rPr>
        <w:t>One</w:t>
      </w:r>
      <w:proofErr w:type="spellEnd"/>
      <w:r w:rsidRPr="006203C3">
        <w:rPr>
          <w:rFonts w:ascii="Arial" w:hAnsi="Arial" w:cs="Arial"/>
          <w:color w:val="222222"/>
          <w:sz w:val="20"/>
          <w:szCs w:val="20"/>
        </w:rPr>
        <w:t xml:space="preserve"> Solution Holland BV (OSH) har ingått partnerskap.</w:t>
      </w:r>
    </w:p>
    <w:p w14:paraId="2D5859AC" w14:textId="77777777" w:rsidR="00337D6C" w:rsidRDefault="00337D6C" w:rsidP="00337D6C">
      <w:pPr>
        <w:pStyle w:val="Normalwebb"/>
        <w:spacing w:before="192" w:beforeAutospacing="0" w:after="0" w:afterAutospacing="0"/>
        <w:ind w:right="289"/>
        <w:rPr>
          <w:rFonts w:ascii="Arial" w:hAnsi="Arial" w:cs="Arial"/>
          <w:color w:val="222222"/>
          <w:sz w:val="20"/>
          <w:szCs w:val="20"/>
        </w:rPr>
      </w:pPr>
    </w:p>
    <w:p w14:paraId="3174DC99" w14:textId="77777777" w:rsidR="00337D6C" w:rsidRPr="005B3704" w:rsidRDefault="00337D6C" w:rsidP="00337D6C">
      <w:pPr>
        <w:pStyle w:val="Normalwebb"/>
        <w:spacing w:before="192" w:beforeAutospacing="0" w:after="0" w:afterAutospacing="0"/>
        <w:ind w:right="289"/>
        <w:rPr>
          <w:rFonts w:ascii="Arial" w:hAnsi="Arial" w:cs="Arial"/>
          <w:color w:val="222222"/>
          <w:sz w:val="20"/>
          <w:szCs w:val="20"/>
        </w:rPr>
      </w:pPr>
    </w:p>
    <w:p w14:paraId="6B3FAD80" w14:textId="77777777" w:rsidR="00337D6C" w:rsidRDefault="00337D6C" w:rsidP="00337D6C">
      <w:pPr>
        <w:pStyle w:val="Normalwebb"/>
        <w:spacing w:before="192" w:beforeAutospacing="0" w:after="0" w:afterAutospacing="0"/>
        <w:ind w:right="289"/>
        <w:rPr>
          <w:rFonts w:ascii="Arial" w:hAnsi="Arial" w:cs="Arial"/>
          <w:b/>
          <w:bCs/>
          <w:color w:val="222222"/>
          <w:sz w:val="30"/>
          <w:szCs w:val="30"/>
        </w:rPr>
      </w:pPr>
      <w:r w:rsidRPr="00AC2EB7">
        <w:rPr>
          <w:rFonts w:ascii="Arial" w:hAnsi="Arial" w:cs="Arial"/>
          <w:b/>
          <w:bCs/>
          <w:color w:val="222222"/>
          <w:sz w:val="30"/>
          <w:szCs w:val="30"/>
        </w:rPr>
        <w:t>Väsentliga händelser efter periodens utgång</w:t>
      </w:r>
    </w:p>
    <w:p w14:paraId="04EFF220" w14:textId="77777777" w:rsidR="00337D6C" w:rsidRDefault="00337D6C" w:rsidP="00337D6C">
      <w:pPr>
        <w:pStyle w:val="Liststycke"/>
        <w:numPr>
          <w:ilvl w:val="0"/>
          <w:numId w:val="6"/>
        </w:numPr>
        <w:rPr>
          <w:rFonts w:ascii="Arial" w:hAnsi="Arial" w:cs="Arial"/>
          <w:sz w:val="20"/>
          <w:szCs w:val="20"/>
        </w:rPr>
      </w:pPr>
      <w:r w:rsidRPr="00766FD2">
        <w:rPr>
          <w:rFonts w:ascii="Arial" w:hAnsi="Arial" w:cs="Arial"/>
          <w:sz w:val="20"/>
          <w:szCs w:val="20"/>
        </w:rPr>
        <w:t>Inga väsentliga händelser</w:t>
      </w:r>
    </w:p>
    <w:p w14:paraId="04287B63" w14:textId="77777777" w:rsidR="00337D6C" w:rsidRPr="00AC2EB7" w:rsidRDefault="00337D6C" w:rsidP="00337D6C">
      <w:pPr>
        <w:pStyle w:val="Normalwebb"/>
        <w:spacing w:before="192" w:beforeAutospacing="0" w:after="0" w:afterAutospacing="0"/>
        <w:ind w:right="289"/>
        <w:rPr>
          <w:rFonts w:ascii="Arial" w:hAnsi="Arial" w:cs="Arial"/>
          <w:b/>
          <w:bCs/>
          <w:color w:val="222222"/>
          <w:sz w:val="30"/>
          <w:szCs w:val="30"/>
        </w:rPr>
      </w:pPr>
    </w:p>
    <w:p w14:paraId="20123C90" w14:textId="77777777" w:rsidR="00337D6C" w:rsidRPr="00AC2EB7" w:rsidRDefault="00337D6C" w:rsidP="00337D6C">
      <w:pPr>
        <w:pStyle w:val="Liststycke"/>
        <w:ind w:left="360" w:firstLine="0"/>
        <w:rPr>
          <w:rFonts w:ascii="Arial" w:hAnsi="Arial" w:cs="Arial"/>
          <w:sz w:val="20"/>
          <w:szCs w:val="20"/>
        </w:rPr>
      </w:pPr>
    </w:p>
    <w:p w14:paraId="76AA319B" w14:textId="77777777" w:rsidR="00337D6C" w:rsidRPr="00AC2EB7" w:rsidRDefault="00337D6C" w:rsidP="00337D6C">
      <w:pPr>
        <w:rPr>
          <w:b/>
          <w:bCs/>
          <w:sz w:val="30"/>
          <w:szCs w:val="30"/>
        </w:rPr>
      </w:pPr>
      <w:r w:rsidRPr="00AC2EB7">
        <w:rPr>
          <w:b/>
          <w:bCs/>
          <w:sz w:val="30"/>
          <w:szCs w:val="30"/>
        </w:rPr>
        <w:t>Likviditetssituationen koncernen</w:t>
      </w:r>
    </w:p>
    <w:p w14:paraId="7A3E0A94" w14:textId="77777777" w:rsidR="00337D6C" w:rsidRPr="00AC2EB7" w:rsidRDefault="00337D6C" w:rsidP="00337D6C">
      <w:pPr>
        <w:rPr>
          <w:b/>
          <w:bCs/>
          <w:sz w:val="30"/>
          <w:szCs w:val="30"/>
        </w:rPr>
      </w:pPr>
    </w:p>
    <w:p w14:paraId="3928D8F6" w14:textId="77777777" w:rsidR="00337D6C" w:rsidRPr="00BE524F" w:rsidRDefault="00337D6C" w:rsidP="00337D6C">
      <w:pPr>
        <w:rPr>
          <w:sz w:val="20"/>
          <w:szCs w:val="20"/>
        </w:rPr>
      </w:pPr>
      <w:r w:rsidRPr="00AC2EB7">
        <w:rPr>
          <w:sz w:val="20"/>
          <w:szCs w:val="20"/>
        </w:rPr>
        <w:t xml:space="preserve">Vid utgången av kvartal 4 uppgår fortsatt kapital bundet i lager och kundfordringar till ca </w:t>
      </w:r>
      <w:r>
        <w:rPr>
          <w:sz w:val="20"/>
          <w:szCs w:val="20"/>
        </w:rPr>
        <w:t>29</w:t>
      </w:r>
      <w:r w:rsidRPr="00AC2EB7">
        <w:rPr>
          <w:sz w:val="20"/>
          <w:szCs w:val="20"/>
        </w:rPr>
        <w:t xml:space="preserve"> MSEK. Kassa vid kvartalets slut uppgick till ca </w:t>
      </w:r>
      <w:r>
        <w:rPr>
          <w:sz w:val="20"/>
          <w:szCs w:val="20"/>
        </w:rPr>
        <w:t>19,6</w:t>
      </w:r>
      <w:r w:rsidRPr="00AC2EB7">
        <w:rPr>
          <w:sz w:val="20"/>
          <w:szCs w:val="20"/>
        </w:rPr>
        <w:t xml:space="preserve"> MSEK. Överenskommelse har träffats med </w:t>
      </w:r>
      <w:proofErr w:type="spellStart"/>
      <w:r w:rsidRPr="00AC2EB7">
        <w:rPr>
          <w:sz w:val="20"/>
          <w:szCs w:val="20"/>
        </w:rPr>
        <w:t>Weland</w:t>
      </w:r>
      <w:proofErr w:type="spellEnd"/>
      <w:r w:rsidRPr="00AC2EB7">
        <w:rPr>
          <w:sz w:val="20"/>
          <w:szCs w:val="20"/>
        </w:rPr>
        <w:t xml:space="preserve"> Stål AB att belåna kundfakturor och materiallager för att säkra rörelsekapital. Vid utgången av kvartal 4 har materiallagret belånats med </w:t>
      </w:r>
      <w:r>
        <w:rPr>
          <w:sz w:val="20"/>
          <w:szCs w:val="20"/>
        </w:rPr>
        <w:t>5</w:t>
      </w:r>
      <w:r w:rsidRPr="00AC2EB7">
        <w:rPr>
          <w:sz w:val="20"/>
          <w:szCs w:val="20"/>
        </w:rPr>
        <w:t xml:space="preserve"> MSEK. Möjligheten till belåning är fortsatt möjlig. Styrelsen följer och analyserar kapitalbehovet löpande och utvärderar olika alternativ för att säkra rörelsekapital för bolaget men bedömer att förutsättningar finns för fortsatt drift under hela 202</w:t>
      </w:r>
      <w:r>
        <w:rPr>
          <w:sz w:val="20"/>
          <w:szCs w:val="20"/>
        </w:rPr>
        <w:t>6</w:t>
      </w:r>
      <w:r w:rsidRPr="00AC2EB7">
        <w:rPr>
          <w:sz w:val="20"/>
          <w:szCs w:val="20"/>
        </w:rPr>
        <w:t xml:space="preserve"> utan kapitaltillskott.</w:t>
      </w:r>
      <w:r w:rsidRPr="00BE524F">
        <w:rPr>
          <w:sz w:val="20"/>
          <w:szCs w:val="20"/>
        </w:rPr>
        <w:t xml:space="preserve"> </w:t>
      </w:r>
    </w:p>
    <w:p w14:paraId="6F181F52" w14:textId="77777777" w:rsidR="00337D6C" w:rsidRPr="00BE524F" w:rsidRDefault="00337D6C" w:rsidP="00337D6C">
      <w:pPr>
        <w:rPr>
          <w:sz w:val="20"/>
          <w:szCs w:val="20"/>
        </w:rPr>
      </w:pPr>
    </w:p>
    <w:p w14:paraId="0B767159" w14:textId="77777777" w:rsidR="00337D6C" w:rsidRDefault="00337D6C" w:rsidP="00337D6C">
      <w:pPr>
        <w:pStyle w:val="Normalwebb"/>
        <w:shd w:val="clear" w:color="auto" w:fill="FFFFFF"/>
        <w:spacing w:before="0" w:beforeAutospacing="0" w:after="0" w:afterAutospacing="0"/>
        <w:rPr>
          <w:rFonts w:ascii="Arial" w:hAnsi="Arial" w:cs="Arial"/>
          <w:b/>
          <w:bCs/>
          <w:color w:val="222222"/>
          <w:sz w:val="30"/>
          <w:szCs w:val="30"/>
        </w:rPr>
      </w:pPr>
    </w:p>
    <w:p w14:paraId="59E70DD1" w14:textId="77777777" w:rsidR="00337D6C" w:rsidRDefault="00337D6C" w:rsidP="00337D6C">
      <w:pPr>
        <w:pStyle w:val="Normalwebb"/>
        <w:shd w:val="clear" w:color="auto" w:fill="FFFFFF"/>
        <w:spacing w:before="0" w:beforeAutospacing="0" w:after="0" w:afterAutospacing="0"/>
        <w:rPr>
          <w:rFonts w:ascii="Arial" w:hAnsi="Arial" w:cs="Arial"/>
          <w:b/>
          <w:bCs/>
          <w:color w:val="222222"/>
          <w:sz w:val="30"/>
          <w:szCs w:val="30"/>
        </w:rPr>
      </w:pPr>
    </w:p>
    <w:p w14:paraId="3353638E" w14:textId="77777777" w:rsidR="00532AC9" w:rsidRDefault="00532AC9" w:rsidP="00337D6C">
      <w:pPr>
        <w:pStyle w:val="Normalwebb"/>
        <w:shd w:val="clear" w:color="auto" w:fill="FFFFFF"/>
        <w:spacing w:before="0" w:beforeAutospacing="0" w:after="0" w:afterAutospacing="0"/>
        <w:rPr>
          <w:rFonts w:ascii="Arial" w:hAnsi="Arial" w:cs="Arial"/>
          <w:b/>
          <w:bCs/>
          <w:color w:val="222222"/>
          <w:sz w:val="30"/>
          <w:szCs w:val="30"/>
        </w:rPr>
      </w:pPr>
    </w:p>
    <w:p w14:paraId="3F581206" w14:textId="77777777" w:rsidR="00532AC9" w:rsidRDefault="00532AC9" w:rsidP="00337D6C">
      <w:pPr>
        <w:pStyle w:val="Normalwebb"/>
        <w:shd w:val="clear" w:color="auto" w:fill="FFFFFF"/>
        <w:spacing w:before="0" w:beforeAutospacing="0" w:after="0" w:afterAutospacing="0"/>
        <w:rPr>
          <w:rFonts w:ascii="Arial" w:hAnsi="Arial" w:cs="Arial"/>
          <w:b/>
          <w:bCs/>
          <w:color w:val="222222"/>
          <w:sz w:val="30"/>
          <w:szCs w:val="30"/>
        </w:rPr>
      </w:pPr>
    </w:p>
    <w:p w14:paraId="267B7054" w14:textId="77777777" w:rsidR="00532AC9" w:rsidRDefault="00532AC9" w:rsidP="00337D6C">
      <w:pPr>
        <w:pStyle w:val="Normalwebb"/>
        <w:shd w:val="clear" w:color="auto" w:fill="FFFFFF"/>
        <w:spacing w:before="0" w:beforeAutospacing="0" w:after="0" w:afterAutospacing="0"/>
        <w:rPr>
          <w:rFonts w:ascii="Arial" w:hAnsi="Arial" w:cs="Arial"/>
          <w:b/>
          <w:bCs/>
          <w:color w:val="222222"/>
          <w:sz w:val="30"/>
          <w:szCs w:val="30"/>
        </w:rPr>
      </w:pPr>
    </w:p>
    <w:p w14:paraId="223FB87C" w14:textId="77777777" w:rsidR="00532AC9" w:rsidRDefault="00532AC9" w:rsidP="00337D6C">
      <w:pPr>
        <w:pStyle w:val="Normalwebb"/>
        <w:shd w:val="clear" w:color="auto" w:fill="FFFFFF"/>
        <w:spacing w:before="0" w:beforeAutospacing="0" w:after="0" w:afterAutospacing="0"/>
        <w:rPr>
          <w:rFonts w:ascii="Arial" w:hAnsi="Arial" w:cs="Arial"/>
          <w:b/>
          <w:bCs/>
          <w:color w:val="222222"/>
          <w:sz w:val="30"/>
          <w:szCs w:val="30"/>
        </w:rPr>
      </w:pPr>
    </w:p>
    <w:p w14:paraId="51A5DF7F" w14:textId="77777777" w:rsidR="00532AC9" w:rsidRDefault="00532AC9" w:rsidP="00337D6C">
      <w:pPr>
        <w:pStyle w:val="Normalwebb"/>
        <w:shd w:val="clear" w:color="auto" w:fill="FFFFFF"/>
        <w:spacing w:before="0" w:beforeAutospacing="0" w:after="0" w:afterAutospacing="0"/>
        <w:rPr>
          <w:rFonts w:ascii="Arial" w:hAnsi="Arial" w:cs="Arial"/>
          <w:b/>
          <w:bCs/>
          <w:color w:val="222222"/>
          <w:sz w:val="30"/>
          <w:szCs w:val="30"/>
        </w:rPr>
      </w:pPr>
    </w:p>
    <w:p w14:paraId="1009E465" w14:textId="77777777" w:rsidR="00337D6C" w:rsidRDefault="00337D6C" w:rsidP="00337D6C">
      <w:pPr>
        <w:pStyle w:val="Normalwebb"/>
        <w:shd w:val="clear" w:color="auto" w:fill="FFFFFF"/>
        <w:spacing w:before="0" w:beforeAutospacing="0" w:after="0" w:afterAutospacing="0"/>
        <w:rPr>
          <w:rFonts w:ascii="Arial" w:hAnsi="Arial" w:cs="Arial"/>
          <w:b/>
          <w:bCs/>
          <w:color w:val="222222"/>
          <w:sz w:val="30"/>
          <w:szCs w:val="30"/>
        </w:rPr>
      </w:pPr>
    </w:p>
    <w:p w14:paraId="07D84592" w14:textId="77777777" w:rsidR="00337D6C" w:rsidRPr="00076D84" w:rsidRDefault="00337D6C" w:rsidP="00337D6C">
      <w:pPr>
        <w:pStyle w:val="Normalwebb"/>
        <w:shd w:val="clear" w:color="auto" w:fill="FFFFFF"/>
        <w:spacing w:before="0" w:beforeAutospacing="0" w:after="0" w:afterAutospacing="0"/>
        <w:rPr>
          <w:rFonts w:ascii="Arial" w:hAnsi="Arial" w:cs="Arial"/>
          <w:b/>
          <w:bCs/>
          <w:color w:val="222222"/>
          <w:sz w:val="30"/>
          <w:szCs w:val="30"/>
        </w:rPr>
      </w:pPr>
      <w:r w:rsidRPr="00076D84">
        <w:rPr>
          <w:rFonts w:ascii="Arial" w:hAnsi="Arial" w:cs="Arial"/>
          <w:b/>
          <w:bCs/>
          <w:color w:val="222222"/>
          <w:sz w:val="30"/>
          <w:szCs w:val="30"/>
        </w:rPr>
        <w:lastRenderedPageBreak/>
        <w:t>VD-kommentar</w:t>
      </w:r>
    </w:p>
    <w:p w14:paraId="0EF19C01" w14:textId="77777777" w:rsidR="00337D6C" w:rsidRPr="00CE7980" w:rsidRDefault="00337D6C" w:rsidP="00337D6C">
      <w:pPr>
        <w:autoSpaceDE w:val="0"/>
        <w:autoSpaceDN w:val="0"/>
        <w:adjustRightInd w:val="0"/>
        <w:rPr>
          <w:sz w:val="20"/>
          <w:szCs w:val="20"/>
        </w:rPr>
      </w:pPr>
    </w:p>
    <w:p w14:paraId="65FA7B0C" w14:textId="77777777" w:rsidR="00337D6C" w:rsidRPr="009A239E" w:rsidRDefault="00337D6C" w:rsidP="00337D6C">
      <w:pPr>
        <w:rPr>
          <w:sz w:val="20"/>
          <w:szCs w:val="20"/>
        </w:rPr>
      </w:pPr>
      <w:r w:rsidRPr="009A239E">
        <w:rPr>
          <w:sz w:val="20"/>
          <w:szCs w:val="20"/>
        </w:rPr>
        <w:t xml:space="preserve">2025 är nu stängt och vi kan konstatera att vi fortsatt har en bra tillväxt på helåret, trots en svajig konjunktur och en orolig omvärld. Det är fortsatt full fart med förbättringar och utveckling inom i stort sett alla delar av verksamheten, samtidigt som vi planerar och förbereder vår flytt i maj/juni. Vi har blivit lite vana vid att kurvan alltid pekar brant uppåt, men i Q4 såg vi en lägre omsättning jämfört med motsvarande period föregående år. Som jag skrev i Q3-rapporten har vi kommit in i en period där beställare är mer avvaktande. Inflödet av förfrågningar i Sverige och Norge är fortsatt mycket starkt, men beslutsvägarna drar ut på tiden och avsluten tar längre tid. Den trenden ser vi nu fortsätta in i Q1. Det är dock viktigt att understryka att vi inte ser några förlorade affärer. Samtidigt märker vi ett nytt beteende, där beställningar som kommer in planeras för leverans långt fram, i vissa fall ända in i Q2–Q3 2026. Produktionen rullar på i samma takt oavsett leveransdatum och order. Vi producerar utifrån kapacitet och affärsplan, vilket är enkelt när vi arbetar enbart med standardprodukter. Det påverkar vår likviditet kortsiktigt, men med en bra kassa och starkt stöd från vår huvudägare </w:t>
      </w:r>
      <w:proofErr w:type="spellStart"/>
      <w:r w:rsidRPr="009A239E">
        <w:rPr>
          <w:sz w:val="20"/>
          <w:szCs w:val="20"/>
        </w:rPr>
        <w:t>Weland</w:t>
      </w:r>
      <w:proofErr w:type="spellEnd"/>
      <w:r w:rsidRPr="009A239E">
        <w:rPr>
          <w:sz w:val="20"/>
          <w:szCs w:val="20"/>
        </w:rPr>
        <w:t xml:space="preserve"> står vi tryggt positionerade.</w:t>
      </w:r>
    </w:p>
    <w:p w14:paraId="554F6D66" w14:textId="77777777" w:rsidR="00337D6C" w:rsidRPr="009A239E" w:rsidRDefault="00337D6C" w:rsidP="00337D6C">
      <w:pPr>
        <w:rPr>
          <w:sz w:val="20"/>
          <w:szCs w:val="20"/>
        </w:rPr>
      </w:pPr>
    </w:p>
    <w:p w14:paraId="6324CD6D" w14:textId="77777777" w:rsidR="00337D6C" w:rsidRPr="009A239E" w:rsidRDefault="00337D6C" w:rsidP="00337D6C">
      <w:pPr>
        <w:rPr>
          <w:sz w:val="20"/>
          <w:szCs w:val="20"/>
        </w:rPr>
      </w:pPr>
      <w:r w:rsidRPr="009A239E">
        <w:rPr>
          <w:sz w:val="20"/>
          <w:szCs w:val="20"/>
        </w:rPr>
        <w:t>Som jag nämnt i tidigare rapporter fortsätter vi att ta våra investeringar och satsningar som löpande kostnader. Det påverkar resultatet, men speglar vår långsiktiga strategi att bygga för framtiden. Vi följer den plan som presenterades i samband med kapitalanskaffningen förra året, och den gäller både 2025 och 2026, med förhoppningen att vi ska kunna hämta hem en del under andra halvan av detta år. Under 2025 har vi investerat cirka 7,5 Mkr i utveckling, produktion, uppstarten i Nederländerna samt gjort en avsättning för garantier på 500 tkr inför 2026. Utöver detta har vi byggt vidare på vår organisation för att möta framtiden. Under 2025 har vi ökat antalet anställda med cirka 50 %, en kombination av tjänstemän och kollektivanställda. I dagsläget har vi resurser att tillverka över 80 Mkr i vår nuvarande fastighet, och efter flytten till den nya fastigheten kommer kapaciteten att öka till över 100 Mkr utan att tillföra mer personal. Vi har redan det mesta på plats när det gäller investeringar inför flytten till nya fastigheten.</w:t>
      </w:r>
    </w:p>
    <w:p w14:paraId="15E9B39B" w14:textId="77777777" w:rsidR="00337D6C" w:rsidRPr="009A239E" w:rsidRDefault="00337D6C" w:rsidP="00337D6C">
      <w:pPr>
        <w:rPr>
          <w:sz w:val="20"/>
          <w:szCs w:val="20"/>
        </w:rPr>
      </w:pPr>
    </w:p>
    <w:p w14:paraId="419BEF17" w14:textId="77777777" w:rsidR="00337D6C" w:rsidRPr="009A239E" w:rsidRDefault="00337D6C" w:rsidP="00337D6C">
      <w:pPr>
        <w:rPr>
          <w:sz w:val="20"/>
          <w:szCs w:val="20"/>
        </w:rPr>
      </w:pPr>
      <w:r w:rsidRPr="009A239E">
        <w:rPr>
          <w:sz w:val="20"/>
          <w:szCs w:val="20"/>
        </w:rPr>
        <w:t xml:space="preserve">Sverige och Norge är de marknader vi sålt på under 2025, med undantag för en mindre order i Nederländerna efter en kort startsträcka. I stället för att starta upp verksamhet i ytterligare ett nytt land väljer vi att satsa mer på våra befintliga marknader. I Sverige har vi tillsatt en säljchef, och i mars ansluter ytterligare en säljare som ska stärka försäljningsarbetet. Vi behöver arbeta mer aktivt på våra marknader, och därför skjuter vi nu till fler resurser till försäljningen. Vi har haft hög tillväxt trots en relativt låg aktivitetsnivå, så potentialen är stor med den här satsningen. </w:t>
      </w:r>
    </w:p>
    <w:p w14:paraId="16301E86" w14:textId="77777777" w:rsidR="00337D6C" w:rsidRPr="009A239E" w:rsidRDefault="00337D6C" w:rsidP="00337D6C">
      <w:pPr>
        <w:rPr>
          <w:sz w:val="20"/>
          <w:szCs w:val="20"/>
        </w:rPr>
      </w:pPr>
    </w:p>
    <w:p w14:paraId="4F0FB400" w14:textId="77777777" w:rsidR="00337D6C" w:rsidRPr="009A239E" w:rsidRDefault="00337D6C" w:rsidP="00337D6C">
      <w:pPr>
        <w:rPr>
          <w:sz w:val="20"/>
          <w:szCs w:val="20"/>
        </w:rPr>
      </w:pPr>
      <w:r w:rsidRPr="009A239E">
        <w:rPr>
          <w:sz w:val="20"/>
          <w:szCs w:val="20"/>
        </w:rPr>
        <w:t xml:space="preserve">Vi påbörjade försäljningsarbetet i Nederländerna i samband med mässan Green </w:t>
      </w:r>
      <w:proofErr w:type="spellStart"/>
      <w:r w:rsidRPr="009A239E">
        <w:rPr>
          <w:sz w:val="20"/>
          <w:szCs w:val="20"/>
        </w:rPr>
        <w:t>Heating</w:t>
      </w:r>
      <w:proofErr w:type="spellEnd"/>
      <w:r w:rsidRPr="009A239E">
        <w:rPr>
          <w:sz w:val="20"/>
          <w:szCs w:val="20"/>
        </w:rPr>
        <w:t xml:space="preserve"> Solutions i början av juni, och fick vår första order i november, vilket är ett tydligt tecken på att marknaden är på gång. Det tar normalt 1–2 år att få </w:t>
      </w:r>
      <w:proofErr w:type="gramStart"/>
      <w:r w:rsidRPr="009A239E">
        <w:rPr>
          <w:sz w:val="20"/>
          <w:szCs w:val="20"/>
        </w:rPr>
        <w:t>igång</w:t>
      </w:r>
      <w:proofErr w:type="gramEnd"/>
      <w:r w:rsidRPr="009A239E">
        <w:rPr>
          <w:sz w:val="20"/>
          <w:szCs w:val="20"/>
        </w:rPr>
        <w:t xml:space="preserve"> ett nytt land, och vi följer den planen. Vi har nu ett förfrågningsläge som är betydligt bättre än vi räknat med och har därför rekryterat i Nederländerna tidigare än planerat för att möta efterfrågan. En ny säljresurs börjar under Q2 och ytterligare en kundsupport i Q3. Som tidigare nämnt i vår pressrelease har vi dessutom lagt till Belgien (Flandern), som också kommer att hanteras från Enrad B.V. Jag räknar med att vi ska se orderingången ta fart under andra halvan av 2026 i Nederländerna och Belgien. </w:t>
      </w:r>
      <w:r w:rsidRPr="009A239E">
        <w:rPr>
          <w:sz w:val="20"/>
          <w:szCs w:val="20"/>
        </w:rPr>
        <w:tab/>
      </w:r>
    </w:p>
    <w:p w14:paraId="28793C1E" w14:textId="77777777" w:rsidR="00337D6C" w:rsidRPr="009A239E" w:rsidRDefault="00337D6C" w:rsidP="00337D6C">
      <w:pPr>
        <w:tabs>
          <w:tab w:val="left" w:pos="6566"/>
        </w:tabs>
        <w:rPr>
          <w:sz w:val="20"/>
          <w:szCs w:val="20"/>
        </w:rPr>
      </w:pPr>
    </w:p>
    <w:p w14:paraId="4E0415C0" w14:textId="77777777" w:rsidR="00337D6C" w:rsidRPr="009A239E" w:rsidRDefault="00337D6C" w:rsidP="00337D6C">
      <w:pPr>
        <w:tabs>
          <w:tab w:val="left" w:pos="6566"/>
        </w:tabs>
        <w:rPr>
          <w:sz w:val="20"/>
          <w:szCs w:val="20"/>
        </w:rPr>
      </w:pPr>
      <w:r w:rsidRPr="009A239E">
        <w:rPr>
          <w:sz w:val="20"/>
          <w:szCs w:val="20"/>
        </w:rPr>
        <w:t xml:space="preserve">Ge aldrig upp – uthållighet och mod kommer att ge resultat </w:t>
      </w:r>
    </w:p>
    <w:p w14:paraId="0DC35233" w14:textId="77777777" w:rsidR="00337D6C" w:rsidRPr="009A239E" w:rsidRDefault="00337D6C" w:rsidP="00337D6C">
      <w:pPr>
        <w:tabs>
          <w:tab w:val="left" w:pos="6566"/>
        </w:tabs>
        <w:rPr>
          <w:sz w:val="20"/>
          <w:szCs w:val="20"/>
        </w:rPr>
      </w:pPr>
      <w:r w:rsidRPr="009A239E">
        <w:rPr>
          <w:sz w:val="20"/>
          <w:szCs w:val="20"/>
        </w:rPr>
        <w:tab/>
      </w:r>
    </w:p>
    <w:p w14:paraId="19353423" w14:textId="77777777" w:rsidR="00337D6C" w:rsidRDefault="00337D6C" w:rsidP="00337D6C">
      <w:pPr>
        <w:rPr>
          <w:sz w:val="20"/>
          <w:szCs w:val="20"/>
        </w:rPr>
      </w:pPr>
      <w:r w:rsidRPr="009A239E">
        <w:rPr>
          <w:sz w:val="20"/>
          <w:szCs w:val="20"/>
        </w:rPr>
        <w:t xml:space="preserve">Andreas Bäckäng, Verkställande direktör </w:t>
      </w:r>
    </w:p>
    <w:p w14:paraId="291DF2BD" w14:textId="77777777" w:rsidR="00337D6C" w:rsidRDefault="00337D6C" w:rsidP="00337D6C">
      <w:pPr>
        <w:rPr>
          <w:sz w:val="20"/>
          <w:szCs w:val="20"/>
        </w:rPr>
      </w:pPr>
    </w:p>
    <w:p w14:paraId="25010F90" w14:textId="120390BD" w:rsidR="00623DCB" w:rsidRPr="00464147" w:rsidRDefault="00623DCB" w:rsidP="00623DCB">
      <w:pPr>
        <w:shd w:val="clear" w:color="auto" w:fill="FFFFFF"/>
        <w:spacing w:before="100" w:beforeAutospacing="1" w:after="75" w:line="240" w:lineRule="auto"/>
        <w:rPr>
          <w:rFonts w:eastAsia="Times New Roman"/>
          <w:color w:val="333333"/>
        </w:rPr>
      </w:pPr>
      <w:r w:rsidRPr="00464147">
        <w:rPr>
          <w:rFonts w:eastAsia="Times New Roman"/>
          <w:b/>
          <w:bCs/>
        </w:rPr>
        <w:lastRenderedPageBreak/>
        <w:t>För ytterligare information, vänligen kontakta</w:t>
      </w:r>
    </w:p>
    <w:p w14:paraId="34BEC2E2" w14:textId="77777777" w:rsidR="00623DCB" w:rsidRDefault="00623DCB" w:rsidP="00623DCB">
      <w:pPr>
        <w:pStyle w:val="Normalwebb"/>
        <w:shd w:val="clear" w:color="auto" w:fill="FFFFFF"/>
        <w:tabs>
          <w:tab w:val="left" w:pos="1344"/>
        </w:tabs>
        <w:spacing w:before="0" w:beforeAutospacing="0" w:after="135" w:afterAutospacing="0"/>
        <w:rPr>
          <w:rFonts w:ascii="Arial" w:hAnsi="Arial" w:cs="Arial"/>
          <w:color w:val="333333"/>
          <w:sz w:val="22"/>
          <w:szCs w:val="22"/>
        </w:rPr>
      </w:pPr>
      <w:r w:rsidRPr="00464147">
        <w:rPr>
          <w:rFonts w:ascii="Arial" w:hAnsi="Arial" w:cs="Arial"/>
          <w:color w:val="333333"/>
          <w:sz w:val="22"/>
          <w:szCs w:val="22"/>
        </w:rPr>
        <w:t>Andreas Bäckäng, vd, Enrad AB</w:t>
      </w:r>
      <w:r w:rsidRPr="00464147">
        <w:rPr>
          <w:rFonts w:ascii="Arial" w:hAnsi="Arial" w:cs="Arial"/>
          <w:color w:val="333333"/>
          <w:sz w:val="22"/>
          <w:szCs w:val="22"/>
        </w:rPr>
        <w:br/>
        <w:t>Telefon: +4670-89 55 646</w:t>
      </w:r>
      <w:r w:rsidRPr="00464147">
        <w:rPr>
          <w:rFonts w:ascii="Arial" w:hAnsi="Arial" w:cs="Arial"/>
          <w:color w:val="333333"/>
          <w:sz w:val="22"/>
          <w:szCs w:val="22"/>
        </w:rPr>
        <w:br/>
        <w:t>E-post: </w:t>
      </w:r>
      <w:hyperlink r:id="rId8" w:history="1">
        <w:r w:rsidRPr="00464147">
          <w:rPr>
            <w:rFonts w:ascii="Arial" w:hAnsi="Arial" w:cs="Arial"/>
            <w:color w:val="333333"/>
            <w:sz w:val="22"/>
            <w:szCs w:val="22"/>
          </w:rPr>
          <w:t>Andreas.Backang@enrad.se</w:t>
        </w:r>
      </w:hyperlink>
    </w:p>
    <w:p w14:paraId="149C9EDB" w14:textId="05A9FF04" w:rsidR="00E246AE" w:rsidRDefault="00B31061" w:rsidP="0038173F">
      <w:pPr>
        <w:shd w:val="clear" w:color="auto" w:fill="FFFFFF"/>
        <w:spacing w:after="140"/>
        <w:rPr>
          <w:i/>
          <w:sz w:val="20"/>
          <w:szCs w:val="20"/>
          <w:highlight w:val="white"/>
        </w:rPr>
      </w:pPr>
      <w:r>
        <w:rPr>
          <w:sz w:val="20"/>
          <w:szCs w:val="20"/>
        </w:rPr>
        <w:br/>
      </w:r>
      <w:r>
        <w:rPr>
          <w:b/>
          <w:sz w:val="20"/>
          <w:szCs w:val="20"/>
        </w:rPr>
        <w:t>Om Enrad AB (</w:t>
      </w:r>
      <w:proofErr w:type="spellStart"/>
      <w:r>
        <w:rPr>
          <w:b/>
          <w:sz w:val="20"/>
          <w:szCs w:val="20"/>
        </w:rPr>
        <w:t>publ</w:t>
      </w:r>
      <w:proofErr w:type="spellEnd"/>
      <w:r>
        <w:rPr>
          <w:b/>
          <w:sz w:val="20"/>
          <w:szCs w:val="20"/>
        </w:rPr>
        <w:t>)</w:t>
      </w:r>
      <w:r>
        <w:rPr>
          <w:sz w:val="20"/>
          <w:szCs w:val="20"/>
        </w:rPr>
        <w:br/>
      </w:r>
      <w:r>
        <w:rPr>
          <w:i/>
          <w:sz w:val="20"/>
          <w:szCs w:val="20"/>
        </w:rPr>
        <w:t xml:space="preserve">Enrad är en av Europas ledande utvecklare av kyl- och värmeanläggningar som använder det naturliga köldmediet propan. Energilösningarna är fokuserade på applikationer inom </w:t>
      </w:r>
      <w:r w:rsidR="00073F44">
        <w:rPr>
          <w:i/>
          <w:sz w:val="20"/>
          <w:szCs w:val="20"/>
        </w:rPr>
        <w:t>tre</w:t>
      </w:r>
      <w:r>
        <w:rPr>
          <w:i/>
          <w:sz w:val="20"/>
          <w:szCs w:val="20"/>
        </w:rPr>
        <w:t xml:space="preserve"> segment, komfortkyla, processkyla och värmepumpslösningar riktat mot livsmedelsbutiker, serverhallar och flerfamiljshus samt kommersiella fastigheter. Företaget utvecklar, tillverkar och säljer produkterna från sin anläggning i Borås.</w:t>
      </w:r>
      <w:r>
        <w:rPr>
          <w:i/>
          <w:sz w:val="20"/>
          <w:szCs w:val="20"/>
        </w:rPr>
        <w:br/>
      </w:r>
      <w:hyperlink r:id="rId9">
        <w:r>
          <w:rPr>
            <w:i/>
            <w:sz w:val="20"/>
            <w:szCs w:val="20"/>
            <w:u w:val="single"/>
          </w:rPr>
          <w:t>www.enrad.se</w:t>
        </w:r>
      </w:hyperlink>
    </w:p>
    <w:sectPr w:rsidR="00E246AE" w:rsidSect="00337D6C">
      <w:headerReference w:type="default" r:id="rId10"/>
      <w:pgSz w:w="12240" w:h="15840"/>
      <w:pgMar w:top="2127" w:right="1440" w:bottom="70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4546" w14:textId="77777777" w:rsidR="00B72D95" w:rsidRDefault="00B72D95">
      <w:pPr>
        <w:spacing w:line="240" w:lineRule="auto"/>
      </w:pPr>
      <w:r>
        <w:separator/>
      </w:r>
    </w:p>
  </w:endnote>
  <w:endnote w:type="continuationSeparator" w:id="0">
    <w:p w14:paraId="2CA3D7DA" w14:textId="77777777" w:rsidR="00B72D95" w:rsidRDefault="00B72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IN Mittelschrift Std">
    <w:altName w:val="Calibri"/>
    <w:charset w:val="00"/>
    <w:family w:val="moder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AAE2" w14:textId="77777777" w:rsidR="00B72D95" w:rsidRDefault="00B72D95">
      <w:pPr>
        <w:spacing w:line="240" w:lineRule="auto"/>
      </w:pPr>
      <w:r>
        <w:separator/>
      </w:r>
    </w:p>
  </w:footnote>
  <w:footnote w:type="continuationSeparator" w:id="0">
    <w:p w14:paraId="3A567266" w14:textId="77777777" w:rsidR="00B72D95" w:rsidRDefault="00B72D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6A7F" w14:textId="77777777" w:rsidR="006F085A" w:rsidRDefault="006F085A">
    <w:pPr>
      <w:shd w:val="clear" w:color="auto" w:fill="FFFFFF"/>
      <w:spacing w:after="140"/>
      <w:rPr>
        <w:b/>
        <w:color w:val="333333"/>
        <w:sz w:val="20"/>
        <w:szCs w:val="20"/>
      </w:rPr>
    </w:pPr>
  </w:p>
  <w:p w14:paraId="0C3B6A80" w14:textId="77777777" w:rsidR="006F085A" w:rsidRDefault="006F085A">
    <w:pPr>
      <w:shd w:val="clear" w:color="auto" w:fill="FFFFFF"/>
      <w:spacing w:after="140"/>
      <w:rPr>
        <w:b/>
        <w:color w:val="333333"/>
        <w:sz w:val="20"/>
        <w:szCs w:val="20"/>
      </w:rPr>
    </w:pPr>
  </w:p>
  <w:p w14:paraId="0C3B6A81" w14:textId="4740F3B8" w:rsidR="006F085A" w:rsidRDefault="00B31061">
    <w:pPr>
      <w:shd w:val="clear" w:color="auto" w:fill="FFFFFF"/>
      <w:spacing w:after="140"/>
      <w:rPr>
        <w:color w:val="333333"/>
        <w:sz w:val="18"/>
        <w:szCs w:val="18"/>
      </w:rPr>
    </w:pPr>
    <w:r>
      <w:rPr>
        <w:b/>
        <w:noProof/>
        <w:color w:val="333333"/>
        <w:sz w:val="28"/>
        <w:szCs w:val="28"/>
      </w:rPr>
      <w:drawing>
        <wp:inline distT="114300" distB="114300" distL="114300" distR="114300" wp14:anchorId="0C3B6A82" wp14:editId="0C3B6A83">
          <wp:extent cx="1714500" cy="571500"/>
          <wp:effectExtent l="0" t="0" r="0" b="0"/>
          <wp:docPr id="13611968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571500"/>
                  </a:xfrm>
                  <a:prstGeom prst="rect">
                    <a:avLst/>
                  </a:prstGeom>
                  <a:ln/>
                </pic:spPr>
              </pic:pic>
            </a:graphicData>
          </a:graphic>
        </wp:inline>
      </w:drawing>
    </w:r>
    <w:r>
      <w:rPr>
        <w:b/>
        <w:color w:val="333333"/>
        <w:sz w:val="28"/>
        <w:szCs w:val="28"/>
      </w:rPr>
      <w:tab/>
    </w:r>
    <w:r>
      <w:rPr>
        <w:b/>
        <w:color w:val="333333"/>
        <w:sz w:val="28"/>
        <w:szCs w:val="28"/>
      </w:rPr>
      <w:tab/>
    </w:r>
    <w:r>
      <w:rPr>
        <w:b/>
        <w:color w:val="333333"/>
        <w:sz w:val="28"/>
        <w:szCs w:val="28"/>
      </w:rPr>
      <w:tab/>
    </w:r>
    <w:r>
      <w:rPr>
        <w:b/>
        <w:color w:val="333333"/>
        <w:sz w:val="28"/>
        <w:szCs w:val="28"/>
      </w:rPr>
      <w:tab/>
    </w:r>
    <w:r>
      <w:rPr>
        <w:b/>
        <w:color w:val="333333"/>
        <w:sz w:val="28"/>
        <w:szCs w:val="28"/>
      </w:rPr>
      <w:tab/>
    </w:r>
    <w:r>
      <w:rPr>
        <w:b/>
        <w:color w:val="333333"/>
        <w:sz w:val="28"/>
        <w:szCs w:val="28"/>
      </w:rPr>
      <w:tab/>
    </w:r>
    <w:r>
      <w:rPr>
        <w:b/>
        <w:color w:val="333333"/>
        <w:sz w:val="28"/>
        <w:szCs w:val="28"/>
      </w:rPr>
      <w:tab/>
    </w:r>
    <w:r>
      <w:rPr>
        <w:color w:val="333333"/>
        <w:sz w:val="18"/>
        <w:szCs w:val="18"/>
      </w:rPr>
      <w:t xml:space="preserve">Borås, </w:t>
    </w:r>
    <w:r w:rsidR="008F5DB8">
      <w:rPr>
        <w:color w:val="333333"/>
        <w:sz w:val="18"/>
        <w:szCs w:val="18"/>
      </w:rPr>
      <w:t>2026-02-27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85"/>
    <w:multiLevelType w:val="hybridMultilevel"/>
    <w:tmpl w:val="7CA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FD04E4"/>
    <w:multiLevelType w:val="hybridMultilevel"/>
    <w:tmpl w:val="F80814D8"/>
    <w:lvl w:ilvl="0" w:tplc="C13EE2B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2960B0"/>
    <w:multiLevelType w:val="hybridMultilevel"/>
    <w:tmpl w:val="1C960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2E4634"/>
    <w:multiLevelType w:val="hybridMultilevel"/>
    <w:tmpl w:val="3404E6FA"/>
    <w:lvl w:ilvl="0" w:tplc="4C86FF2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2F7AA6"/>
    <w:multiLevelType w:val="hybridMultilevel"/>
    <w:tmpl w:val="1F60E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407314"/>
    <w:multiLevelType w:val="hybridMultilevel"/>
    <w:tmpl w:val="294E0422"/>
    <w:lvl w:ilvl="0" w:tplc="041D0001">
      <w:start w:val="1"/>
      <w:numFmt w:val="bullet"/>
      <w:lvlText w:val=""/>
      <w:lvlJc w:val="left"/>
      <w:pPr>
        <w:ind w:left="1262" w:hanging="360"/>
      </w:pPr>
      <w:rPr>
        <w:rFonts w:ascii="Symbol" w:hAnsi="Symbol" w:hint="default"/>
      </w:rPr>
    </w:lvl>
    <w:lvl w:ilvl="1" w:tplc="041D0003" w:tentative="1">
      <w:start w:val="1"/>
      <w:numFmt w:val="bullet"/>
      <w:lvlText w:val="o"/>
      <w:lvlJc w:val="left"/>
      <w:pPr>
        <w:ind w:left="1982" w:hanging="360"/>
      </w:pPr>
      <w:rPr>
        <w:rFonts w:ascii="Courier New" w:hAnsi="Courier New" w:cs="Courier New" w:hint="default"/>
      </w:rPr>
    </w:lvl>
    <w:lvl w:ilvl="2" w:tplc="041D0005" w:tentative="1">
      <w:start w:val="1"/>
      <w:numFmt w:val="bullet"/>
      <w:lvlText w:val=""/>
      <w:lvlJc w:val="left"/>
      <w:pPr>
        <w:ind w:left="2702" w:hanging="360"/>
      </w:pPr>
      <w:rPr>
        <w:rFonts w:ascii="Wingdings" w:hAnsi="Wingdings" w:hint="default"/>
      </w:rPr>
    </w:lvl>
    <w:lvl w:ilvl="3" w:tplc="041D0001" w:tentative="1">
      <w:start w:val="1"/>
      <w:numFmt w:val="bullet"/>
      <w:lvlText w:val=""/>
      <w:lvlJc w:val="left"/>
      <w:pPr>
        <w:ind w:left="3422" w:hanging="360"/>
      </w:pPr>
      <w:rPr>
        <w:rFonts w:ascii="Symbol" w:hAnsi="Symbol" w:hint="default"/>
      </w:rPr>
    </w:lvl>
    <w:lvl w:ilvl="4" w:tplc="041D0003" w:tentative="1">
      <w:start w:val="1"/>
      <w:numFmt w:val="bullet"/>
      <w:lvlText w:val="o"/>
      <w:lvlJc w:val="left"/>
      <w:pPr>
        <w:ind w:left="4142" w:hanging="360"/>
      </w:pPr>
      <w:rPr>
        <w:rFonts w:ascii="Courier New" w:hAnsi="Courier New" w:cs="Courier New" w:hint="default"/>
      </w:rPr>
    </w:lvl>
    <w:lvl w:ilvl="5" w:tplc="041D0005" w:tentative="1">
      <w:start w:val="1"/>
      <w:numFmt w:val="bullet"/>
      <w:lvlText w:val=""/>
      <w:lvlJc w:val="left"/>
      <w:pPr>
        <w:ind w:left="4862" w:hanging="360"/>
      </w:pPr>
      <w:rPr>
        <w:rFonts w:ascii="Wingdings" w:hAnsi="Wingdings" w:hint="default"/>
      </w:rPr>
    </w:lvl>
    <w:lvl w:ilvl="6" w:tplc="041D0001" w:tentative="1">
      <w:start w:val="1"/>
      <w:numFmt w:val="bullet"/>
      <w:lvlText w:val=""/>
      <w:lvlJc w:val="left"/>
      <w:pPr>
        <w:ind w:left="5582" w:hanging="360"/>
      </w:pPr>
      <w:rPr>
        <w:rFonts w:ascii="Symbol" w:hAnsi="Symbol" w:hint="default"/>
      </w:rPr>
    </w:lvl>
    <w:lvl w:ilvl="7" w:tplc="041D0003" w:tentative="1">
      <w:start w:val="1"/>
      <w:numFmt w:val="bullet"/>
      <w:lvlText w:val="o"/>
      <w:lvlJc w:val="left"/>
      <w:pPr>
        <w:ind w:left="6302" w:hanging="360"/>
      </w:pPr>
      <w:rPr>
        <w:rFonts w:ascii="Courier New" w:hAnsi="Courier New" w:cs="Courier New" w:hint="default"/>
      </w:rPr>
    </w:lvl>
    <w:lvl w:ilvl="8" w:tplc="041D0005" w:tentative="1">
      <w:start w:val="1"/>
      <w:numFmt w:val="bullet"/>
      <w:lvlText w:val=""/>
      <w:lvlJc w:val="left"/>
      <w:pPr>
        <w:ind w:left="7022" w:hanging="360"/>
      </w:pPr>
      <w:rPr>
        <w:rFonts w:ascii="Wingdings" w:hAnsi="Wingdings" w:hint="default"/>
      </w:rPr>
    </w:lvl>
  </w:abstractNum>
  <w:abstractNum w:abstractNumId="6" w15:restartNumberingAfterBreak="0">
    <w:nsid w:val="696F0CD5"/>
    <w:multiLevelType w:val="hybridMultilevel"/>
    <w:tmpl w:val="DDFED89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CC80CB9"/>
    <w:multiLevelType w:val="hybridMultilevel"/>
    <w:tmpl w:val="A52AC0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594775531">
    <w:abstractNumId w:val="6"/>
  </w:num>
  <w:num w:numId="2" w16cid:durableId="182936585">
    <w:abstractNumId w:val="0"/>
  </w:num>
  <w:num w:numId="3" w16cid:durableId="146435895">
    <w:abstractNumId w:val="7"/>
  </w:num>
  <w:num w:numId="4" w16cid:durableId="851071590">
    <w:abstractNumId w:val="1"/>
  </w:num>
  <w:num w:numId="5" w16cid:durableId="171456099">
    <w:abstractNumId w:val="3"/>
  </w:num>
  <w:num w:numId="6" w16cid:durableId="2041737034">
    <w:abstractNumId w:val="4"/>
  </w:num>
  <w:num w:numId="7" w16cid:durableId="527648453">
    <w:abstractNumId w:val="5"/>
  </w:num>
  <w:num w:numId="8" w16cid:durableId="172117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5A"/>
    <w:rsid w:val="00036C51"/>
    <w:rsid w:val="00073F44"/>
    <w:rsid w:val="000B71D4"/>
    <w:rsid w:val="000E1B71"/>
    <w:rsid w:val="001731B7"/>
    <w:rsid w:val="00192FAB"/>
    <w:rsid w:val="00193DAC"/>
    <w:rsid w:val="001A2DB4"/>
    <w:rsid w:val="001C665B"/>
    <w:rsid w:val="0020356C"/>
    <w:rsid w:val="00223F90"/>
    <w:rsid w:val="00227CC4"/>
    <w:rsid w:val="002847C5"/>
    <w:rsid w:val="002B3F24"/>
    <w:rsid w:val="002E70E5"/>
    <w:rsid w:val="002E77BC"/>
    <w:rsid w:val="00303138"/>
    <w:rsid w:val="00307483"/>
    <w:rsid w:val="00317D67"/>
    <w:rsid w:val="00337D6C"/>
    <w:rsid w:val="0038173F"/>
    <w:rsid w:val="00397697"/>
    <w:rsid w:val="003C4566"/>
    <w:rsid w:val="003F4090"/>
    <w:rsid w:val="00405512"/>
    <w:rsid w:val="004207C3"/>
    <w:rsid w:val="00481C00"/>
    <w:rsid w:val="004849EE"/>
    <w:rsid w:val="0048662C"/>
    <w:rsid w:val="004968D3"/>
    <w:rsid w:val="004D7921"/>
    <w:rsid w:val="005038CA"/>
    <w:rsid w:val="00511E5F"/>
    <w:rsid w:val="00532AC9"/>
    <w:rsid w:val="00541398"/>
    <w:rsid w:val="0055157C"/>
    <w:rsid w:val="0059144F"/>
    <w:rsid w:val="005B3253"/>
    <w:rsid w:val="005C087C"/>
    <w:rsid w:val="005C3E28"/>
    <w:rsid w:val="00623DCB"/>
    <w:rsid w:val="00644330"/>
    <w:rsid w:val="00654852"/>
    <w:rsid w:val="00655F72"/>
    <w:rsid w:val="006F01F1"/>
    <w:rsid w:val="006F085A"/>
    <w:rsid w:val="0072401D"/>
    <w:rsid w:val="007618D9"/>
    <w:rsid w:val="00775E9C"/>
    <w:rsid w:val="007D70EC"/>
    <w:rsid w:val="008D20FC"/>
    <w:rsid w:val="008F5DB8"/>
    <w:rsid w:val="00934A55"/>
    <w:rsid w:val="00984385"/>
    <w:rsid w:val="009C5BEC"/>
    <w:rsid w:val="009D3A3A"/>
    <w:rsid w:val="00A82128"/>
    <w:rsid w:val="00A82C3D"/>
    <w:rsid w:val="00AA148C"/>
    <w:rsid w:val="00B31061"/>
    <w:rsid w:val="00B72D95"/>
    <w:rsid w:val="00BA0C5A"/>
    <w:rsid w:val="00BD35A9"/>
    <w:rsid w:val="00C05D90"/>
    <w:rsid w:val="00CD1C08"/>
    <w:rsid w:val="00D02819"/>
    <w:rsid w:val="00D039BB"/>
    <w:rsid w:val="00D21714"/>
    <w:rsid w:val="00D6028B"/>
    <w:rsid w:val="00D67EE9"/>
    <w:rsid w:val="00DB0BC1"/>
    <w:rsid w:val="00DB6E19"/>
    <w:rsid w:val="00DB7922"/>
    <w:rsid w:val="00E246AE"/>
    <w:rsid w:val="00E625B6"/>
    <w:rsid w:val="00E7122D"/>
    <w:rsid w:val="00EA365D"/>
    <w:rsid w:val="00F32524"/>
    <w:rsid w:val="00F37C0C"/>
    <w:rsid w:val="00F60821"/>
    <w:rsid w:val="00F730C1"/>
    <w:rsid w:val="00FC2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6A76"/>
  <w15:docId w15:val="{55B61DEF-80B2-4C77-801D-2A9F458E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317D67"/>
    <w:rPr>
      <w:color w:val="0000FF" w:themeColor="hyperlink"/>
      <w:u w:val="single"/>
    </w:rPr>
  </w:style>
  <w:style w:type="character" w:styleId="Olstomnmnande">
    <w:name w:val="Unresolved Mention"/>
    <w:basedOn w:val="Standardstycketeckensnitt"/>
    <w:uiPriority w:val="99"/>
    <w:semiHidden/>
    <w:unhideWhenUsed/>
    <w:rsid w:val="00317D67"/>
    <w:rPr>
      <w:color w:val="605E5C"/>
      <w:shd w:val="clear" w:color="auto" w:fill="E1DFDD"/>
    </w:rPr>
  </w:style>
  <w:style w:type="paragraph" w:styleId="Liststycke">
    <w:name w:val="List Paragraph"/>
    <w:basedOn w:val="Normal"/>
    <w:uiPriority w:val="1"/>
    <w:qFormat/>
    <w:rsid w:val="00C05D90"/>
    <w:pPr>
      <w:widowControl w:val="0"/>
      <w:autoSpaceDE w:val="0"/>
      <w:autoSpaceDN w:val="0"/>
      <w:adjustRightInd w:val="0"/>
      <w:spacing w:before="51" w:line="240" w:lineRule="auto"/>
      <w:ind w:left="897" w:hanging="178"/>
    </w:pPr>
    <w:rPr>
      <w:rFonts w:ascii="DIN Mittelschrift Std" w:eastAsiaTheme="minorEastAsia" w:hAnsi="DIN Mittelschrift Std" w:cs="DIN Mittelschrift Std"/>
      <w:sz w:val="24"/>
      <w:szCs w:val="24"/>
    </w:rPr>
  </w:style>
  <w:style w:type="paragraph" w:styleId="Normalwebb">
    <w:name w:val="Normal (Web)"/>
    <w:basedOn w:val="Normal"/>
    <w:uiPriority w:val="99"/>
    <w:unhideWhenUsed/>
    <w:rsid w:val="00C05D90"/>
    <w:pPr>
      <w:spacing w:before="100" w:beforeAutospacing="1" w:after="100" w:afterAutospacing="1" w:line="240" w:lineRule="auto"/>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1A2DB4"/>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1A2DB4"/>
  </w:style>
  <w:style w:type="paragraph" w:styleId="Sidfot">
    <w:name w:val="footer"/>
    <w:basedOn w:val="Normal"/>
    <w:link w:val="SidfotChar"/>
    <w:uiPriority w:val="99"/>
    <w:unhideWhenUsed/>
    <w:rsid w:val="001A2DB4"/>
    <w:pPr>
      <w:tabs>
        <w:tab w:val="center" w:pos="4536"/>
        <w:tab w:val="right" w:pos="9072"/>
      </w:tabs>
      <w:spacing w:line="240" w:lineRule="auto"/>
    </w:pPr>
  </w:style>
  <w:style w:type="character" w:customStyle="1" w:styleId="SidfotChar">
    <w:name w:val="Sidfot Char"/>
    <w:basedOn w:val="Standardstycketeckensnitt"/>
    <w:link w:val="Sidfot"/>
    <w:uiPriority w:val="99"/>
    <w:rsid w:val="001A2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41158">
      <w:bodyDiv w:val="1"/>
      <w:marLeft w:val="0"/>
      <w:marRight w:val="0"/>
      <w:marTop w:val="0"/>
      <w:marBottom w:val="0"/>
      <w:divBdr>
        <w:top w:val="none" w:sz="0" w:space="0" w:color="auto"/>
        <w:left w:val="none" w:sz="0" w:space="0" w:color="auto"/>
        <w:bottom w:val="none" w:sz="0" w:space="0" w:color="auto"/>
        <w:right w:val="none" w:sz="0" w:space="0" w:color="auto"/>
      </w:divBdr>
    </w:div>
    <w:div w:id="1754274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as.Backang@enrad.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ra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xOFqhu5FAywO6mXWme4vnZ2RA==">CgMxLjAyCGguZ2pkZ3hzMgloLjMwajB6bGw4AHIhMTVTeFZSOW93ZTUwSjY0NkhZYmN3LWxDQk13SnpzUHlG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6959</Characters>
  <Application>Microsoft Office Word</Application>
  <DocSecurity>0</DocSecurity>
  <Lines>57</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Bäckäng</dc:creator>
  <cp:lastModifiedBy>Helena Davidsson Warvås</cp:lastModifiedBy>
  <cp:revision>4</cp:revision>
  <cp:lastPrinted>2025-10-09T10:43:00Z</cp:lastPrinted>
  <dcterms:created xsi:type="dcterms:W3CDTF">2026-02-27T12:22:00Z</dcterms:created>
  <dcterms:modified xsi:type="dcterms:W3CDTF">2026-02-27T12:23:00Z</dcterms:modified>
</cp:coreProperties>
</file>