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566" w:rsidRPr="00D90382" w:rsidRDefault="00172566" w:rsidP="00172566">
      <w:pPr>
        <w:pStyle w:val="Rubrik2"/>
        <w:spacing w:before="0" w:after="0"/>
        <w:rPr>
          <w:i w:val="0"/>
        </w:rPr>
      </w:pPr>
      <w:r w:rsidRPr="00D90382">
        <w:rPr>
          <w:i w:val="0"/>
        </w:rPr>
        <w:t>Utf</w:t>
      </w:r>
      <w:r w:rsidR="002F47FF">
        <w:rPr>
          <w:i w:val="0"/>
        </w:rPr>
        <w:t>all av kontrollbesiktningar 2012</w:t>
      </w:r>
    </w:p>
    <w:p w:rsidR="00172566" w:rsidRPr="00D90382" w:rsidRDefault="00172566" w:rsidP="00172566">
      <w:pPr>
        <w:rPr>
          <w:rFonts w:ascii="Helv" w:hAnsi="Helv"/>
          <w:sz w:val="22"/>
        </w:rPr>
      </w:pPr>
    </w:p>
    <w:p w:rsidR="002003FD" w:rsidRPr="00D90382" w:rsidRDefault="002F47FF" w:rsidP="002003FD">
      <w:pPr>
        <w:tabs>
          <w:tab w:val="left" w:pos="284"/>
        </w:tabs>
        <w:rPr>
          <w:rFonts w:ascii="Calibri" w:hAnsi="Calibri"/>
          <w:sz w:val="22"/>
          <w:szCs w:val="22"/>
        </w:rPr>
      </w:pPr>
      <w:r>
        <w:rPr>
          <w:rFonts w:ascii="Calibri" w:hAnsi="Calibri"/>
          <w:sz w:val="22"/>
          <w:szCs w:val="22"/>
        </w:rPr>
        <w:t>Under 2012</w:t>
      </w:r>
      <w:r w:rsidR="002003FD" w:rsidRPr="00D90382">
        <w:rPr>
          <w:rFonts w:ascii="Calibri" w:hAnsi="Calibri"/>
          <w:sz w:val="22"/>
          <w:szCs w:val="22"/>
        </w:rPr>
        <w:t xml:space="preserve"> gjo</w:t>
      </w:r>
      <w:r w:rsidR="00313FD4">
        <w:rPr>
          <w:rFonts w:ascii="Calibri" w:hAnsi="Calibri"/>
          <w:sz w:val="22"/>
          <w:szCs w:val="22"/>
        </w:rPr>
        <w:t>r</w:t>
      </w:r>
      <w:r w:rsidR="00FE62C8">
        <w:rPr>
          <w:rFonts w:ascii="Calibri" w:hAnsi="Calibri"/>
          <w:sz w:val="22"/>
          <w:szCs w:val="22"/>
        </w:rPr>
        <w:t>de Bilprovningen sammanlagt 5,4</w:t>
      </w:r>
      <w:r w:rsidR="00313FD4">
        <w:rPr>
          <w:rFonts w:ascii="Calibri" w:hAnsi="Calibri"/>
          <w:sz w:val="22"/>
          <w:szCs w:val="22"/>
        </w:rPr>
        <w:t xml:space="preserve"> (5,9</w:t>
      </w:r>
      <w:r w:rsidR="004028DB">
        <w:rPr>
          <w:rFonts w:ascii="Calibri" w:hAnsi="Calibri"/>
          <w:sz w:val="22"/>
          <w:szCs w:val="22"/>
        </w:rPr>
        <w:t>)</w:t>
      </w:r>
      <w:r w:rsidR="002003FD" w:rsidRPr="00D90382">
        <w:rPr>
          <w:rFonts w:ascii="Calibri" w:hAnsi="Calibri"/>
          <w:sz w:val="22"/>
          <w:szCs w:val="22"/>
        </w:rPr>
        <w:t xml:space="preserve"> miljoner besiktningar, dvs. kontrollbesiktningar, efterkontroller, registreringsbesiktningar och frivilliga besiktningar m.m. </w:t>
      </w:r>
    </w:p>
    <w:p w:rsidR="002003FD" w:rsidRPr="00D90382" w:rsidRDefault="002003FD" w:rsidP="002003FD">
      <w:pPr>
        <w:tabs>
          <w:tab w:val="left" w:pos="284"/>
        </w:tabs>
        <w:rPr>
          <w:rFonts w:ascii="Calibri" w:hAnsi="Calibri"/>
          <w:sz w:val="22"/>
          <w:szCs w:val="22"/>
        </w:rPr>
      </w:pPr>
    </w:p>
    <w:p w:rsidR="002003FD" w:rsidRPr="00D90382" w:rsidRDefault="002003FD" w:rsidP="002003FD">
      <w:pPr>
        <w:tabs>
          <w:tab w:val="left" w:pos="284"/>
        </w:tabs>
        <w:rPr>
          <w:rFonts w:ascii="Calibri" w:hAnsi="Calibri"/>
          <w:bCs/>
          <w:iCs/>
          <w:sz w:val="22"/>
          <w:szCs w:val="22"/>
        </w:rPr>
      </w:pPr>
      <w:r w:rsidRPr="00D90382">
        <w:rPr>
          <w:rFonts w:ascii="Calibri" w:hAnsi="Calibri"/>
          <w:sz w:val="22"/>
          <w:szCs w:val="22"/>
        </w:rPr>
        <w:t>Anta</w:t>
      </w:r>
      <w:r w:rsidR="00313FD4">
        <w:rPr>
          <w:rFonts w:ascii="Calibri" w:hAnsi="Calibri"/>
          <w:sz w:val="22"/>
          <w:szCs w:val="22"/>
        </w:rPr>
        <w:t>let kontrollbesiktningar var 4,0 (4,4</w:t>
      </w:r>
      <w:r w:rsidR="004028DB">
        <w:rPr>
          <w:rFonts w:ascii="Calibri" w:hAnsi="Calibri"/>
          <w:sz w:val="22"/>
          <w:szCs w:val="22"/>
        </w:rPr>
        <w:t>)</w:t>
      </w:r>
      <w:r w:rsidR="00313FD4">
        <w:rPr>
          <w:rFonts w:ascii="Calibri" w:hAnsi="Calibri"/>
          <w:sz w:val="22"/>
          <w:szCs w:val="22"/>
        </w:rPr>
        <w:t xml:space="preserve"> miljoner varav 3,2 (3,5</w:t>
      </w:r>
      <w:r w:rsidR="004028DB">
        <w:rPr>
          <w:rFonts w:ascii="Calibri" w:hAnsi="Calibri"/>
          <w:sz w:val="22"/>
          <w:szCs w:val="22"/>
        </w:rPr>
        <w:t>)</w:t>
      </w:r>
      <w:r w:rsidRPr="00D90382">
        <w:rPr>
          <w:rFonts w:ascii="Calibri" w:hAnsi="Calibri"/>
          <w:sz w:val="22"/>
          <w:szCs w:val="22"/>
        </w:rPr>
        <w:t xml:space="preserve"> miljoner (79 procent) var personbilar.  Flest godkända fordon i förhållande till antalet besiktade hade motorcyklar (78 procent), husvagnar (7</w:t>
      </w:r>
      <w:r w:rsidR="00790776">
        <w:rPr>
          <w:rFonts w:ascii="Calibri" w:hAnsi="Calibri"/>
          <w:sz w:val="22"/>
          <w:szCs w:val="22"/>
        </w:rPr>
        <w:t>2</w:t>
      </w:r>
      <w:r w:rsidRPr="00D90382">
        <w:rPr>
          <w:rFonts w:ascii="Calibri" w:hAnsi="Calibri"/>
          <w:sz w:val="22"/>
          <w:szCs w:val="22"/>
        </w:rPr>
        <w:t xml:space="preserve"> procent) och lätta släp (6</w:t>
      </w:r>
      <w:r w:rsidR="00790776">
        <w:rPr>
          <w:rFonts w:ascii="Calibri" w:hAnsi="Calibri"/>
          <w:sz w:val="22"/>
          <w:szCs w:val="22"/>
        </w:rPr>
        <w:t>2</w:t>
      </w:r>
      <w:r w:rsidRPr="00D90382">
        <w:rPr>
          <w:rFonts w:ascii="Calibri" w:hAnsi="Calibri"/>
          <w:sz w:val="22"/>
          <w:szCs w:val="22"/>
        </w:rPr>
        <w:t xml:space="preserve"> procent). </w:t>
      </w:r>
      <w:r w:rsidRPr="00D90382">
        <w:rPr>
          <w:rFonts w:ascii="Calibri" w:hAnsi="Calibri"/>
          <w:bCs/>
          <w:iCs/>
          <w:sz w:val="22"/>
          <w:szCs w:val="22"/>
        </w:rPr>
        <w:t xml:space="preserve"> </w:t>
      </w:r>
    </w:p>
    <w:p w:rsidR="002003FD" w:rsidRPr="00D90382" w:rsidRDefault="002003FD" w:rsidP="002003FD">
      <w:pPr>
        <w:tabs>
          <w:tab w:val="left" w:pos="284"/>
        </w:tabs>
        <w:rPr>
          <w:rFonts w:ascii="Calibri" w:hAnsi="Calibri"/>
          <w:sz w:val="22"/>
          <w:szCs w:val="22"/>
        </w:rPr>
      </w:pPr>
    </w:p>
    <w:p w:rsidR="002003FD" w:rsidRPr="00D90382" w:rsidRDefault="002003FD" w:rsidP="002003FD">
      <w:pPr>
        <w:pStyle w:val="Rubrik3"/>
        <w:spacing w:before="0" w:after="0"/>
        <w:rPr>
          <w:rFonts w:ascii="Calibri" w:hAnsi="Calibri"/>
          <w:sz w:val="22"/>
          <w:szCs w:val="22"/>
        </w:rPr>
      </w:pPr>
      <w:r w:rsidRPr="00D90382">
        <w:rPr>
          <w:rFonts w:ascii="Calibri" w:hAnsi="Calibri"/>
          <w:sz w:val="22"/>
          <w:szCs w:val="22"/>
        </w:rPr>
        <w:t>Körförbud</w:t>
      </w:r>
    </w:p>
    <w:p w:rsidR="002003FD" w:rsidRPr="00D90382" w:rsidRDefault="00790776" w:rsidP="002003FD">
      <w:pPr>
        <w:tabs>
          <w:tab w:val="left" w:pos="284"/>
        </w:tabs>
        <w:rPr>
          <w:rFonts w:ascii="Calibri" w:hAnsi="Calibri"/>
          <w:sz w:val="22"/>
          <w:szCs w:val="22"/>
        </w:rPr>
      </w:pPr>
      <w:r>
        <w:rPr>
          <w:rFonts w:ascii="Calibri" w:hAnsi="Calibri"/>
          <w:sz w:val="22"/>
          <w:szCs w:val="22"/>
        </w:rPr>
        <w:t>13 427</w:t>
      </w:r>
      <w:r w:rsidR="002003FD" w:rsidRPr="00D90382">
        <w:rPr>
          <w:rFonts w:ascii="Calibri" w:hAnsi="Calibri"/>
          <w:sz w:val="22"/>
          <w:szCs w:val="22"/>
        </w:rPr>
        <w:t xml:space="preserve"> (</w:t>
      </w:r>
      <w:r>
        <w:rPr>
          <w:rFonts w:ascii="Calibri" w:hAnsi="Calibri"/>
          <w:sz w:val="22"/>
          <w:szCs w:val="22"/>
        </w:rPr>
        <w:t>14 956</w:t>
      </w:r>
      <w:r w:rsidR="002003FD" w:rsidRPr="00D90382">
        <w:rPr>
          <w:rFonts w:ascii="Calibri" w:hAnsi="Calibri"/>
          <w:sz w:val="22"/>
          <w:szCs w:val="22"/>
        </w:rPr>
        <w:t xml:space="preserve">) fordon fick körförbud. Det motsvarar 0,3 procent av alla fordon. Körförbud innebär i de allra flesta fallen att fordonet måste bärgas från bilprovningsstationen. Vanligaste orsaken till körförbud är allvarliga rostskador som lett till att komponenten brustit eller där det funnits risk för haveri, till exempel brustna bromsrör, rostskadade och </w:t>
      </w:r>
      <w:r w:rsidR="001B6380">
        <w:rPr>
          <w:rFonts w:ascii="Calibri" w:hAnsi="Calibri"/>
          <w:sz w:val="22"/>
          <w:szCs w:val="22"/>
        </w:rPr>
        <w:t>brust</w:t>
      </w:r>
      <w:r w:rsidR="00FC32F7">
        <w:rPr>
          <w:rFonts w:ascii="Calibri" w:hAnsi="Calibri"/>
          <w:sz w:val="22"/>
          <w:szCs w:val="22"/>
        </w:rPr>
        <w:t>na fjädersäten och fjädrar samt</w:t>
      </w:r>
      <w:r w:rsidR="001B6380">
        <w:rPr>
          <w:rFonts w:ascii="Calibri" w:hAnsi="Calibri"/>
          <w:sz w:val="22"/>
          <w:szCs w:val="22"/>
        </w:rPr>
        <w:t xml:space="preserve"> </w:t>
      </w:r>
      <w:r w:rsidR="002003FD" w:rsidRPr="00D90382">
        <w:rPr>
          <w:rFonts w:ascii="Calibri" w:hAnsi="Calibri"/>
          <w:sz w:val="22"/>
          <w:szCs w:val="22"/>
        </w:rPr>
        <w:t>brustna och rostskadade länkarmar</w:t>
      </w:r>
      <w:r w:rsidR="001B6380">
        <w:rPr>
          <w:rFonts w:ascii="Calibri" w:hAnsi="Calibri"/>
          <w:sz w:val="22"/>
          <w:szCs w:val="22"/>
        </w:rPr>
        <w:t xml:space="preserve">. </w:t>
      </w:r>
      <w:r w:rsidR="002003FD" w:rsidRPr="00D90382">
        <w:rPr>
          <w:rFonts w:ascii="Calibri" w:hAnsi="Calibri"/>
          <w:sz w:val="22"/>
          <w:szCs w:val="22"/>
        </w:rPr>
        <w:t>I samtliga fall gäller att fordonet bedöms utgöra en uppenbar trafiksäkerhetsrisk.</w:t>
      </w:r>
    </w:p>
    <w:p w:rsidR="002003FD" w:rsidRPr="00D90382" w:rsidRDefault="002003FD" w:rsidP="00D90382">
      <w:pPr>
        <w:tabs>
          <w:tab w:val="left" w:pos="284"/>
        </w:tabs>
        <w:rPr>
          <w:rFonts w:ascii="Calibri" w:hAnsi="Calibri"/>
          <w:sz w:val="22"/>
          <w:szCs w:val="22"/>
        </w:rPr>
      </w:pPr>
      <w:r w:rsidRPr="00D90382">
        <w:rPr>
          <w:rFonts w:ascii="Calibri" w:hAnsi="Calibri"/>
          <w:sz w:val="22"/>
          <w:szCs w:val="22"/>
        </w:rPr>
        <w:t xml:space="preserve">  </w:t>
      </w:r>
    </w:p>
    <w:p w:rsidR="002003FD" w:rsidRPr="00D90382" w:rsidRDefault="002003FD" w:rsidP="002003FD">
      <w:pPr>
        <w:rPr>
          <w:rFonts w:ascii="Calibri" w:hAnsi="Calibri"/>
          <w:i/>
          <w:sz w:val="18"/>
          <w:szCs w:val="18"/>
        </w:rPr>
      </w:pPr>
      <w:r w:rsidRPr="00D90382">
        <w:rPr>
          <w:rFonts w:ascii="Calibri" w:hAnsi="Calibri"/>
          <w:i/>
          <w:sz w:val="18"/>
          <w:szCs w:val="18"/>
        </w:rPr>
        <w:t>Tabellen nedan visar resultat från kontrollbesik</w:t>
      </w:r>
      <w:r w:rsidR="00790776">
        <w:rPr>
          <w:rFonts w:ascii="Calibri" w:hAnsi="Calibri"/>
          <w:i/>
          <w:sz w:val="18"/>
          <w:szCs w:val="18"/>
        </w:rPr>
        <w:t xml:space="preserve">tningar och efterkontroller 2012 </w:t>
      </w:r>
      <w:r w:rsidRPr="00D90382">
        <w:rPr>
          <w:rFonts w:ascii="Calibri" w:hAnsi="Calibri"/>
          <w:i/>
          <w:sz w:val="18"/>
          <w:szCs w:val="18"/>
        </w:rPr>
        <w:t xml:space="preserve">för olika fordonsslag. </w:t>
      </w:r>
    </w:p>
    <w:p w:rsidR="002003FD" w:rsidRPr="00D90382" w:rsidRDefault="002003FD" w:rsidP="002003FD">
      <w:pPr>
        <w:rPr>
          <w:rFonts w:ascii="Calibri" w:hAnsi="Calibri"/>
          <w:i/>
          <w:sz w:val="18"/>
          <w:szCs w:val="18"/>
        </w:rPr>
      </w:pPr>
    </w:p>
    <w:tbl>
      <w:tblPr>
        <w:tblStyle w:val="Moderntabell"/>
        <w:tblW w:w="9321" w:type="dxa"/>
        <w:tblLayout w:type="fixed"/>
        <w:tblLook w:val="0020"/>
      </w:tblPr>
      <w:tblGrid>
        <w:gridCol w:w="236"/>
        <w:gridCol w:w="1148"/>
        <w:gridCol w:w="1134"/>
        <w:gridCol w:w="1276"/>
        <w:gridCol w:w="851"/>
        <w:gridCol w:w="1043"/>
        <w:gridCol w:w="1080"/>
        <w:gridCol w:w="1278"/>
        <w:gridCol w:w="1275"/>
      </w:tblGrid>
      <w:tr w:rsidR="002003FD" w:rsidRPr="00D90382">
        <w:trPr>
          <w:cnfStyle w:val="100000000000"/>
          <w:trHeight w:val="880"/>
        </w:trPr>
        <w:tc>
          <w:tcPr>
            <w:tcW w:w="236" w:type="dxa"/>
            <w:tcBorders>
              <w:top w:val="nil"/>
              <w:left w:val="nil"/>
              <w:bottom w:val="nil"/>
              <w:right w:val="nil"/>
            </w:tcBorders>
            <w:shd w:val="clear" w:color="auto" w:fill="E6E6E6"/>
          </w:tcPr>
          <w:p w:rsidR="002003FD" w:rsidRPr="00D90382" w:rsidRDefault="002003FD" w:rsidP="00D90382">
            <w:pPr>
              <w:rPr>
                <w:rFonts w:ascii="Calibri" w:hAnsi="Calibri" w:cs="Arial"/>
                <w:bCs w:val="0"/>
                <w:sz w:val="16"/>
                <w:szCs w:val="16"/>
              </w:rPr>
            </w:pPr>
            <w:bookmarkStart w:id="0" w:name="OLE_LINK1"/>
            <w:bookmarkStart w:id="1" w:name="OLE_LINK2"/>
            <w:bookmarkStart w:id="2" w:name="OLE_LINK3"/>
            <w:r w:rsidRPr="00D90382">
              <w:rPr>
                <w:rFonts w:ascii="Calibri" w:hAnsi="Calibri" w:cs="Arial"/>
                <w:bCs w:val="0"/>
                <w:sz w:val="16"/>
                <w:szCs w:val="16"/>
              </w:rPr>
              <w:t> </w:t>
            </w:r>
          </w:p>
        </w:tc>
        <w:tc>
          <w:tcPr>
            <w:tcW w:w="1148" w:type="dxa"/>
            <w:tcBorders>
              <w:top w:val="nil"/>
              <w:left w:val="nil"/>
              <w:bottom w:val="nil"/>
              <w:right w:val="nil"/>
            </w:tcBorders>
            <w:shd w:val="clear" w:color="auto" w:fill="E6E6E6"/>
          </w:tcPr>
          <w:p w:rsidR="002003FD" w:rsidRPr="00D90382" w:rsidRDefault="002003FD" w:rsidP="00D90382">
            <w:pPr>
              <w:rPr>
                <w:rFonts w:ascii="Calibri" w:hAnsi="Calibri"/>
                <w:sz w:val="16"/>
                <w:szCs w:val="16"/>
              </w:rPr>
            </w:pPr>
            <w:r w:rsidRPr="00D90382">
              <w:rPr>
                <w:rFonts w:ascii="Calibri" w:hAnsi="Calibri"/>
                <w:sz w:val="16"/>
                <w:szCs w:val="16"/>
              </w:rPr>
              <w:t xml:space="preserve">        </w:t>
            </w:r>
          </w:p>
          <w:p w:rsidR="002003FD" w:rsidRPr="00D90382" w:rsidRDefault="00790776" w:rsidP="00D90382">
            <w:pPr>
              <w:rPr>
                <w:rFonts w:ascii="Calibri" w:hAnsi="Calibri"/>
                <w:bCs w:val="0"/>
                <w:sz w:val="22"/>
                <w:szCs w:val="22"/>
              </w:rPr>
            </w:pPr>
            <w:r>
              <w:rPr>
                <w:rFonts w:ascii="Calibri" w:hAnsi="Calibri"/>
                <w:bCs w:val="0"/>
                <w:sz w:val="22"/>
                <w:szCs w:val="22"/>
              </w:rPr>
              <w:t>2012</w:t>
            </w:r>
          </w:p>
          <w:p w:rsidR="002003FD" w:rsidRPr="00D90382" w:rsidRDefault="002003FD" w:rsidP="00D90382">
            <w:pPr>
              <w:rPr>
                <w:rFonts w:ascii="Calibri" w:hAnsi="Calibri"/>
                <w:sz w:val="16"/>
                <w:szCs w:val="16"/>
              </w:rPr>
            </w:pPr>
          </w:p>
          <w:p w:rsidR="002003FD" w:rsidRPr="00D90382" w:rsidRDefault="002003FD" w:rsidP="00D90382">
            <w:pPr>
              <w:rPr>
                <w:rFonts w:ascii="Calibri" w:hAnsi="Calibri"/>
                <w:sz w:val="16"/>
                <w:szCs w:val="16"/>
              </w:rPr>
            </w:pPr>
            <w:r w:rsidRPr="00D90382">
              <w:rPr>
                <w:rFonts w:ascii="Calibri" w:hAnsi="Calibri"/>
                <w:sz w:val="16"/>
                <w:szCs w:val="16"/>
              </w:rPr>
              <w:t>Fordonsslag</w:t>
            </w:r>
          </w:p>
        </w:tc>
        <w:tc>
          <w:tcPr>
            <w:tcW w:w="1134" w:type="dxa"/>
            <w:tcBorders>
              <w:top w:val="nil"/>
              <w:left w:val="nil"/>
              <w:bottom w:val="nil"/>
              <w:right w:val="nil"/>
            </w:tcBorders>
            <w:shd w:val="clear" w:color="auto" w:fill="E6E6E6"/>
          </w:tcPr>
          <w:p w:rsidR="002003FD" w:rsidRPr="00D90382" w:rsidRDefault="002003FD" w:rsidP="00D90382">
            <w:pPr>
              <w:rPr>
                <w:rFonts w:ascii="Calibri" w:hAnsi="Calibri"/>
                <w:bCs w:val="0"/>
                <w:sz w:val="16"/>
                <w:szCs w:val="16"/>
              </w:rPr>
            </w:pPr>
          </w:p>
          <w:p w:rsidR="002003FD" w:rsidRPr="00D90382" w:rsidRDefault="002003FD" w:rsidP="00D90382">
            <w:pPr>
              <w:rPr>
                <w:rFonts w:ascii="Calibri" w:hAnsi="Calibri"/>
                <w:bCs w:val="0"/>
                <w:sz w:val="16"/>
                <w:szCs w:val="16"/>
              </w:rPr>
            </w:pPr>
          </w:p>
          <w:p w:rsidR="002003FD" w:rsidRPr="00D90382" w:rsidRDefault="002003FD" w:rsidP="00D90382">
            <w:pPr>
              <w:rPr>
                <w:rFonts w:ascii="Calibri" w:hAnsi="Calibri"/>
                <w:bCs w:val="0"/>
                <w:sz w:val="16"/>
                <w:szCs w:val="16"/>
              </w:rPr>
            </w:pPr>
            <w:r w:rsidRPr="00D90382">
              <w:rPr>
                <w:rFonts w:ascii="Calibri" w:hAnsi="Calibri"/>
                <w:sz w:val="16"/>
                <w:szCs w:val="16"/>
              </w:rPr>
              <w:t>Godkända</w:t>
            </w:r>
          </w:p>
        </w:tc>
        <w:tc>
          <w:tcPr>
            <w:tcW w:w="1276" w:type="dxa"/>
            <w:tcBorders>
              <w:top w:val="nil"/>
              <w:left w:val="nil"/>
              <w:bottom w:val="nil"/>
              <w:right w:val="nil"/>
            </w:tcBorders>
            <w:shd w:val="clear" w:color="auto" w:fill="E6E6E6"/>
          </w:tcPr>
          <w:p w:rsidR="002003FD" w:rsidRPr="00D90382" w:rsidRDefault="002003FD" w:rsidP="00D90382">
            <w:pPr>
              <w:rPr>
                <w:rFonts w:ascii="Calibri" w:hAnsi="Calibri"/>
                <w:sz w:val="16"/>
                <w:szCs w:val="16"/>
              </w:rPr>
            </w:pPr>
          </w:p>
          <w:p w:rsidR="002003FD" w:rsidRPr="00D90382" w:rsidRDefault="002003FD" w:rsidP="00D90382">
            <w:pPr>
              <w:rPr>
                <w:rFonts w:ascii="Calibri" w:hAnsi="Calibri"/>
                <w:sz w:val="16"/>
                <w:szCs w:val="16"/>
              </w:rPr>
            </w:pPr>
          </w:p>
          <w:p w:rsidR="002003FD" w:rsidRPr="00D90382" w:rsidRDefault="002003FD" w:rsidP="00D90382">
            <w:pPr>
              <w:rPr>
                <w:rFonts w:ascii="Calibri" w:hAnsi="Calibri"/>
                <w:sz w:val="16"/>
                <w:szCs w:val="16"/>
              </w:rPr>
            </w:pPr>
            <w:r w:rsidRPr="00D90382">
              <w:rPr>
                <w:rFonts w:ascii="Calibri" w:hAnsi="Calibri"/>
                <w:sz w:val="16"/>
                <w:szCs w:val="16"/>
              </w:rPr>
              <w:t>Underkända med krav på efterkontroll</w:t>
            </w:r>
          </w:p>
          <w:p w:rsidR="002003FD" w:rsidRPr="00D90382" w:rsidRDefault="002003FD" w:rsidP="00D90382">
            <w:pPr>
              <w:rPr>
                <w:rFonts w:ascii="Calibri" w:hAnsi="Calibri"/>
                <w:sz w:val="16"/>
                <w:szCs w:val="16"/>
              </w:rPr>
            </w:pPr>
          </w:p>
        </w:tc>
        <w:tc>
          <w:tcPr>
            <w:tcW w:w="851" w:type="dxa"/>
            <w:tcBorders>
              <w:top w:val="nil"/>
              <w:left w:val="nil"/>
              <w:bottom w:val="nil"/>
              <w:right w:val="nil"/>
            </w:tcBorders>
            <w:shd w:val="clear" w:color="auto" w:fill="E6E6E6"/>
          </w:tcPr>
          <w:p w:rsidR="002003FD" w:rsidRPr="00D90382" w:rsidRDefault="002003FD" w:rsidP="00D90382">
            <w:pPr>
              <w:rPr>
                <w:rFonts w:ascii="Calibri" w:hAnsi="Calibri"/>
                <w:sz w:val="16"/>
                <w:szCs w:val="16"/>
              </w:rPr>
            </w:pPr>
          </w:p>
          <w:p w:rsidR="002003FD" w:rsidRPr="00D90382" w:rsidRDefault="002003FD" w:rsidP="00D90382">
            <w:pPr>
              <w:rPr>
                <w:rFonts w:ascii="Calibri" w:hAnsi="Calibri"/>
                <w:sz w:val="16"/>
                <w:szCs w:val="16"/>
              </w:rPr>
            </w:pPr>
          </w:p>
          <w:p w:rsidR="002003FD" w:rsidRPr="00D90382" w:rsidRDefault="002003FD" w:rsidP="00D90382">
            <w:pPr>
              <w:rPr>
                <w:rFonts w:ascii="Calibri" w:hAnsi="Calibri"/>
                <w:sz w:val="16"/>
                <w:szCs w:val="16"/>
              </w:rPr>
            </w:pPr>
            <w:proofErr w:type="spellStart"/>
            <w:r w:rsidRPr="00D90382">
              <w:rPr>
                <w:rFonts w:ascii="Calibri" w:hAnsi="Calibri"/>
                <w:sz w:val="16"/>
                <w:szCs w:val="16"/>
              </w:rPr>
              <w:t>Kör-förbud</w:t>
            </w:r>
            <w:proofErr w:type="spellEnd"/>
          </w:p>
        </w:tc>
        <w:tc>
          <w:tcPr>
            <w:tcW w:w="1043" w:type="dxa"/>
            <w:tcBorders>
              <w:top w:val="nil"/>
              <w:left w:val="nil"/>
              <w:bottom w:val="nil"/>
              <w:right w:val="nil"/>
            </w:tcBorders>
            <w:shd w:val="clear" w:color="auto" w:fill="E6E6E6"/>
          </w:tcPr>
          <w:p w:rsidR="002003FD" w:rsidRPr="00D90382" w:rsidRDefault="002003FD" w:rsidP="00D90382">
            <w:pPr>
              <w:rPr>
                <w:rFonts w:ascii="Calibri" w:hAnsi="Calibri"/>
                <w:sz w:val="16"/>
                <w:szCs w:val="16"/>
              </w:rPr>
            </w:pPr>
          </w:p>
          <w:p w:rsidR="002003FD" w:rsidRPr="00D90382" w:rsidRDefault="002003FD" w:rsidP="00D90382">
            <w:pPr>
              <w:rPr>
                <w:rFonts w:ascii="Calibri" w:hAnsi="Calibri"/>
                <w:sz w:val="16"/>
                <w:szCs w:val="16"/>
              </w:rPr>
            </w:pPr>
          </w:p>
          <w:p w:rsidR="002003FD" w:rsidRPr="00D90382" w:rsidRDefault="002003FD" w:rsidP="00D90382">
            <w:pPr>
              <w:rPr>
                <w:rFonts w:ascii="Calibri" w:hAnsi="Calibri"/>
                <w:sz w:val="16"/>
                <w:szCs w:val="16"/>
              </w:rPr>
            </w:pPr>
            <w:r w:rsidRPr="00D90382">
              <w:rPr>
                <w:rFonts w:ascii="Calibri" w:hAnsi="Calibri"/>
                <w:sz w:val="16"/>
                <w:szCs w:val="16"/>
              </w:rPr>
              <w:t>Underkända utan krav på efterkontroll</w:t>
            </w:r>
          </w:p>
        </w:tc>
        <w:tc>
          <w:tcPr>
            <w:tcW w:w="1080" w:type="dxa"/>
            <w:tcBorders>
              <w:top w:val="nil"/>
              <w:left w:val="nil"/>
              <w:bottom w:val="nil"/>
              <w:right w:val="nil"/>
            </w:tcBorders>
            <w:shd w:val="clear" w:color="auto" w:fill="E6E6E6"/>
          </w:tcPr>
          <w:p w:rsidR="002003FD" w:rsidRPr="00D90382" w:rsidRDefault="002003FD" w:rsidP="00D90382">
            <w:pPr>
              <w:rPr>
                <w:rFonts w:ascii="Calibri" w:hAnsi="Calibri"/>
                <w:sz w:val="16"/>
                <w:szCs w:val="16"/>
              </w:rPr>
            </w:pPr>
            <w:r w:rsidRPr="00D90382">
              <w:rPr>
                <w:rFonts w:ascii="Calibri" w:hAnsi="Calibri"/>
                <w:sz w:val="16"/>
                <w:szCs w:val="16"/>
              </w:rPr>
              <w:t xml:space="preserve"> </w:t>
            </w:r>
          </w:p>
          <w:p w:rsidR="002003FD" w:rsidRPr="00D90382" w:rsidRDefault="002003FD" w:rsidP="00D90382">
            <w:pPr>
              <w:rPr>
                <w:rFonts w:ascii="Calibri" w:hAnsi="Calibri"/>
                <w:sz w:val="16"/>
                <w:szCs w:val="16"/>
              </w:rPr>
            </w:pPr>
          </w:p>
          <w:p w:rsidR="002003FD" w:rsidRPr="00D90382" w:rsidRDefault="002003FD" w:rsidP="00D90382">
            <w:pPr>
              <w:rPr>
                <w:rFonts w:ascii="Calibri" w:hAnsi="Calibri"/>
                <w:sz w:val="16"/>
                <w:szCs w:val="16"/>
              </w:rPr>
            </w:pPr>
            <w:r w:rsidRPr="00D90382">
              <w:rPr>
                <w:rFonts w:ascii="Calibri" w:hAnsi="Calibri"/>
                <w:sz w:val="16"/>
                <w:szCs w:val="16"/>
              </w:rPr>
              <w:t>Antal kör-</w:t>
            </w:r>
          </w:p>
          <w:p w:rsidR="002003FD" w:rsidRPr="00D90382" w:rsidRDefault="002003FD" w:rsidP="00D90382">
            <w:pPr>
              <w:rPr>
                <w:rFonts w:ascii="Calibri" w:hAnsi="Calibri"/>
                <w:sz w:val="16"/>
                <w:szCs w:val="16"/>
              </w:rPr>
            </w:pPr>
            <w:r w:rsidRPr="00D90382">
              <w:rPr>
                <w:rFonts w:ascii="Calibri" w:hAnsi="Calibri"/>
                <w:sz w:val="16"/>
                <w:szCs w:val="16"/>
              </w:rPr>
              <w:t xml:space="preserve">förbud   </w:t>
            </w:r>
          </w:p>
        </w:tc>
        <w:tc>
          <w:tcPr>
            <w:tcW w:w="1278" w:type="dxa"/>
            <w:tcBorders>
              <w:top w:val="nil"/>
              <w:left w:val="nil"/>
              <w:bottom w:val="nil"/>
              <w:right w:val="nil"/>
            </w:tcBorders>
            <w:shd w:val="clear" w:color="auto" w:fill="E6E6E6"/>
          </w:tcPr>
          <w:p w:rsidR="002003FD" w:rsidRPr="00D90382" w:rsidRDefault="002003FD" w:rsidP="00D90382">
            <w:pPr>
              <w:rPr>
                <w:rFonts w:ascii="Calibri" w:hAnsi="Calibri"/>
                <w:sz w:val="16"/>
                <w:szCs w:val="16"/>
              </w:rPr>
            </w:pPr>
            <w:r w:rsidRPr="00D90382">
              <w:rPr>
                <w:rFonts w:ascii="Calibri" w:hAnsi="Calibri"/>
                <w:sz w:val="16"/>
                <w:szCs w:val="16"/>
              </w:rPr>
              <w:t xml:space="preserve">           </w:t>
            </w:r>
          </w:p>
          <w:p w:rsidR="002003FD" w:rsidRPr="00D90382" w:rsidRDefault="002003FD" w:rsidP="00D90382">
            <w:pPr>
              <w:rPr>
                <w:rFonts w:ascii="Calibri" w:hAnsi="Calibri"/>
                <w:sz w:val="16"/>
                <w:szCs w:val="16"/>
              </w:rPr>
            </w:pPr>
          </w:p>
          <w:p w:rsidR="002003FD" w:rsidRPr="00D90382" w:rsidRDefault="002003FD" w:rsidP="00D90382">
            <w:pPr>
              <w:rPr>
                <w:rFonts w:ascii="Calibri" w:hAnsi="Calibri"/>
                <w:sz w:val="16"/>
                <w:szCs w:val="16"/>
              </w:rPr>
            </w:pPr>
            <w:r w:rsidRPr="00D90382">
              <w:rPr>
                <w:rFonts w:ascii="Calibri" w:hAnsi="Calibri"/>
                <w:bCs w:val="0"/>
                <w:sz w:val="16"/>
                <w:szCs w:val="16"/>
              </w:rPr>
              <w:t>A</w:t>
            </w:r>
            <w:r w:rsidRPr="00D90382">
              <w:rPr>
                <w:rFonts w:ascii="Calibri" w:hAnsi="Calibri"/>
                <w:sz w:val="16"/>
                <w:szCs w:val="16"/>
              </w:rPr>
              <w:t xml:space="preserve">ntal </w:t>
            </w:r>
            <w:proofErr w:type="spellStart"/>
            <w:r w:rsidRPr="00D90382">
              <w:rPr>
                <w:rFonts w:ascii="Calibri" w:hAnsi="Calibri"/>
                <w:sz w:val="16"/>
                <w:szCs w:val="16"/>
              </w:rPr>
              <w:t>kontroll-besiktningar</w:t>
            </w:r>
            <w:proofErr w:type="spellEnd"/>
          </w:p>
        </w:tc>
        <w:tc>
          <w:tcPr>
            <w:tcW w:w="1275" w:type="dxa"/>
            <w:tcBorders>
              <w:top w:val="nil"/>
              <w:left w:val="nil"/>
              <w:bottom w:val="nil"/>
            </w:tcBorders>
            <w:shd w:val="pct20" w:color="000000" w:fill="737373"/>
          </w:tcPr>
          <w:p w:rsidR="002003FD" w:rsidRPr="00D90382" w:rsidRDefault="002003FD" w:rsidP="00D90382">
            <w:pPr>
              <w:rPr>
                <w:rFonts w:ascii="Calibri" w:hAnsi="Calibri"/>
                <w:sz w:val="16"/>
                <w:szCs w:val="16"/>
              </w:rPr>
            </w:pPr>
          </w:p>
          <w:p w:rsidR="002003FD" w:rsidRPr="00D90382" w:rsidRDefault="002003FD" w:rsidP="00D90382">
            <w:pPr>
              <w:rPr>
                <w:rFonts w:ascii="Calibri" w:hAnsi="Calibri"/>
                <w:sz w:val="16"/>
                <w:szCs w:val="16"/>
              </w:rPr>
            </w:pPr>
          </w:p>
          <w:p w:rsidR="002003FD" w:rsidRPr="00D90382" w:rsidRDefault="002003FD" w:rsidP="00D90382">
            <w:pPr>
              <w:rPr>
                <w:rFonts w:ascii="Calibri" w:hAnsi="Calibri"/>
                <w:sz w:val="16"/>
                <w:szCs w:val="16"/>
              </w:rPr>
            </w:pPr>
            <w:r w:rsidRPr="00D90382">
              <w:rPr>
                <w:rFonts w:ascii="Calibri" w:hAnsi="Calibri"/>
                <w:sz w:val="16"/>
                <w:szCs w:val="16"/>
              </w:rPr>
              <w:t>Andel underkända vid efterkontroll</w:t>
            </w:r>
          </w:p>
        </w:tc>
      </w:tr>
      <w:tr w:rsidR="002003FD" w:rsidRPr="00D90382">
        <w:trPr>
          <w:cnfStyle w:val="000000100000"/>
          <w:trHeight w:val="115"/>
        </w:trPr>
        <w:tc>
          <w:tcPr>
            <w:tcW w:w="236" w:type="dxa"/>
            <w:tcBorders>
              <w:top w:val="nil"/>
            </w:tcBorders>
            <w:noWrap/>
          </w:tcPr>
          <w:p w:rsidR="002003FD" w:rsidRPr="00D90382" w:rsidRDefault="002003FD" w:rsidP="00D90382">
            <w:pPr>
              <w:rPr>
                <w:rFonts w:ascii="Calibri" w:hAnsi="Calibri" w:cs="Arial"/>
                <w:b/>
                <w:bCs/>
                <w:sz w:val="22"/>
                <w:szCs w:val="22"/>
              </w:rPr>
            </w:pPr>
          </w:p>
        </w:tc>
        <w:tc>
          <w:tcPr>
            <w:tcW w:w="1148" w:type="dxa"/>
            <w:tcBorders>
              <w:top w:val="nil"/>
            </w:tcBorders>
            <w:noWrap/>
          </w:tcPr>
          <w:p w:rsidR="002003FD" w:rsidRPr="00D90382" w:rsidRDefault="002003FD" w:rsidP="00D90382">
            <w:pPr>
              <w:rPr>
                <w:rFonts w:ascii="Calibri" w:hAnsi="Calibri"/>
                <w:b/>
                <w:bCs/>
                <w:sz w:val="16"/>
                <w:szCs w:val="16"/>
              </w:rPr>
            </w:pPr>
          </w:p>
        </w:tc>
        <w:tc>
          <w:tcPr>
            <w:tcW w:w="1134" w:type="dxa"/>
            <w:tcBorders>
              <w:top w:val="nil"/>
            </w:tcBorders>
            <w:noWrap/>
          </w:tcPr>
          <w:p w:rsidR="002003FD" w:rsidRPr="00D90382" w:rsidRDefault="002003FD" w:rsidP="00D90382">
            <w:pPr>
              <w:rPr>
                <w:rFonts w:ascii="Calibri" w:hAnsi="Calibri"/>
                <w:sz w:val="18"/>
                <w:szCs w:val="18"/>
              </w:rPr>
            </w:pPr>
          </w:p>
        </w:tc>
        <w:tc>
          <w:tcPr>
            <w:tcW w:w="1276" w:type="dxa"/>
            <w:tcBorders>
              <w:top w:val="nil"/>
            </w:tcBorders>
            <w:noWrap/>
          </w:tcPr>
          <w:p w:rsidR="002003FD" w:rsidRPr="00D90382" w:rsidRDefault="002003FD" w:rsidP="00D90382">
            <w:pPr>
              <w:rPr>
                <w:rFonts w:ascii="Calibri" w:hAnsi="Calibri"/>
                <w:sz w:val="18"/>
                <w:szCs w:val="18"/>
              </w:rPr>
            </w:pPr>
          </w:p>
        </w:tc>
        <w:tc>
          <w:tcPr>
            <w:tcW w:w="851" w:type="dxa"/>
            <w:tcBorders>
              <w:top w:val="nil"/>
            </w:tcBorders>
            <w:noWrap/>
          </w:tcPr>
          <w:p w:rsidR="002003FD" w:rsidRPr="00D90382" w:rsidRDefault="002003FD" w:rsidP="00D90382">
            <w:pPr>
              <w:rPr>
                <w:rFonts w:ascii="Calibri" w:hAnsi="Calibri"/>
                <w:sz w:val="18"/>
                <w:szCs w:val="18"/>
              </w:rPr>
            </w:pPr>
          </w:p>
        </w:tc>
        <w:tc>
          <w:tcPr>
            <w:tcW w:w="1043" w:type="dxa"/>
            <w:tcBorders>
              <w:top w:val="nil"/>
            </w:tcBorders>
            <w:noWrap/>
          </w:tcPr>
          <w:p w:rsidR="002003FD" w:rsidRPr="00D90382" w:rsidRDefault="002003FD" w:rsidP="00D90382">
            <w:pPr>
              <w:rPr>
                <w:rFonts w:ascii="Calibri" w:hAnsi="Calibri"/>
                <w:sz w:val="18"/>
                <w:szCs w:val="18"/>
              </w:rPr>
            </w:pPr>
          </w:p>
        </w:tc>
        <w:tc>
          <w:tcPr>
            <w:tcW w:w="1080" w:type="dxa"/>
            <w:tcBorders>
              <w:top w:val="nil"/>
            </w:tcBorders>
            <w:noWrap/>
          </w:tcPr>
          <w:p w:rsidR="002003FD" w:rsidRPr="00D90382" w:rsidRDefault="002003FD" w:rsidP="00D90382">
            <w:pPr>
              <w:rPr>
                <w:rFonts w:ascii="Calibri" w:hAnsi="Calibri"/>
                <w:sz w:val="18"/>
                <w:szCs w:val="18"/>
              </w:rPr>
            </w:pPr>
          </w:p>
        </w:tc>
        <w:tc>
          <w:tcPr>
            <w:tcW w:w="1278" w:type="dxa"/>
            <w:tcBorders>
              <w:top w:val="nil"/>
            </w:tcBorders>
            <w:noWrap/>
          </w:tcPr>
          <w:p w:rsidR="002003FD" w:rsidRPr="00D90382" w:rsidRDefault="002003FD" w:rsidP="00D90382">
            <w:pPr>
              <w:rPr>
                <w:rFonts w:ascii="Calibri" w:hAnsi="Calibri"/>
                <w:sz w:val="18"/>
                <w:szCs w:val="18"/>
              </w:rPr>
            </w:pPr>
          </w:p>
        </w:tc>
        <w:tc>
          <w:tcPr>
            <w:tcW w:w="1275" w:type="dxa"/>
            <w:tcBorders>
              <w:top w:val="nil"/>
            </w:tcBorders>
            <w:noWrap/>
          </w:tcPr>
          <w:p w:rsidR="002003FD" w:rsidRPr="00D90382" w:rsidRDefault="002003FD" w:rsidP="00D90382">
            <w:pPr>
              <w:rPr>
                <w:rFonts w:ascii="Calibri" w:hAnsi="Calibri"/>
                <w:sz w:val="18"/>
                <w:szCs w:val="18"/>
              </w:rPr>
            </w:pPr>
          </w:p>
        </w:tc>
      </w:tr>
      <w:tr w:rsidR="002003FD" w:rsidRPr="00D90382">
        <w:trPr>
          <w:cnfStyle w:val="000000010000"/>
          <w:trHeight w:val="270"/>
        </w:trPr>
        <w:tc>
          <w:tcPr>
            <w:tcW w:w="1384" w:type="dxa"/>
            <w:gridSpan w:val="2"/>
            <w:noWrap/>
            <w:vAlign w:val="center"/>
          </w:tcPr>
          <w:p w:rsidR="002003FD" w:rsidRPr="00D90382" w:rsidRDefault="002003FD" w:rsidP="00D90382">
            <w:pPr>
              <w:rPr>
                <w:rFonts w:ascii="Calibri" w:hAnsi="Calibri"/>
                <w:b/>
                <w:bCs/>
                <w:sz w:val="18"/>
                <w:szCs w:val="18"/>
              </w:rPr>
            </w:pPr>
            <w:r w:rsidRPr="00D90382">
              <w:rPr>
                <w:rFonts w:ascii="Calibri" w:hAnsi="Calibri"/>
                <w:b/>
                <w:bCs/>
                <w:sz w:val="18"/>
                <w:szCs w:val="18"/>
              </w:rPr>
              <w:t>Personbil</w:t>
            </w:r>
          </w:p>
        </w:tc>
        <w:tc>
          <w:tcPr>
            <w:tcW w:w="1134" w:type="dxa"/>
            <w:noWrap/>
            <w:vAlign w:val="center"/>
          </w:tcPr>
          <w:p w:rsidR="002003FD" w:rsidRPr="00D90382" w:rsidRDefault="008C678E" w:rsidP="00163882">
            <w:pPr>
              <w:jc w:val="center"/>
              <w:rPr>
                <w:rFonts w:ascii="Calibri" w:hAnsi="Calibri"/>
                <w:sz w:val="18"/>
                <w:szCs w:val="18"/>
              </w:rPr>
            </w:pPr>
            <w:r>
              <w:rPr>
                <w:rFonts w:ascii="Calibri" w:hAnsi="Calibri"/>
                <w:sz w:val="18"/>
                <w:szCs w:val="18"/>
              </w:rPr>
              <w:t>53</w:t>
            </w:r>
            <w:r w:rsidR="002003FD" w:rsidRPr="00D90382">
              <w:rPr>
                <w:rFonts w:ascii="Calibri" w:hAnsi="Calibri"/>
                <w:sz w:val="18"/>
                <w:szCs w:val="18"/>
              </w:rPr>
              <w:t xml:space="preserve"> %</w:t>
            </w:r>
          </w:p>
        </w:tc>
        <w:tc>
          <w:tcPr>
            <w:tcW w:w="1276" w:type="dxa"/>
            <w:noWrap/>
            <w:vAlign w:val="center"/>
          </w:tcPr>
          <w:p w:rsidR="002003FD" w:rsidRPr="00D90382" w:rsidRDefault="002003FD" w:rsidP="00163882">
            <w:pPr>
              <w:jc w:val="center"/>
              <w:rPr>
                <w:rFonts w:ascii="Calibri" w:hAnsi="Calibri"/>
                <w:sz w:val="18"/>
                <w:szCs w:val="18"/>
              </w:rPr>
            </w:pPr>
            <w:r w:rsidRPr="00D90382">
              <w:rPr>
                <w:rFonts w:ascii="Calibri" w:hAnsi="Calibri"/>
                <w:sz w:val="18"/>
                <w:szCs w:val="18"/>
              </w:rPr>
              <w:t>31 %</w:t>
            </w:r>
          </w:p>
        </w:tc>
        <w:tc>
          <w:tcPr>
            <w:tcW w:w="851" w:type="dxa"/>
            <w:noWrap/>
            <w:vAlign w:val="center"/>
          </w:tcPr>
          <w:p w:rsidR="002003FD" w:rsidRPr="00D90382" w:rsidRDefault="002003FD" w:rsidP="00163882">
            <w:pPr>
              <w:jc w:val="center"/>
              <w:rPr>
                <w:rFonts w:ascii="Calibri" w:hAnsi="Calibri"/>
                <w:sz w:val="18"/>
                <w:szCs w:val="18"/>
              </w:rPr>
            </w:pPr>
            <w:r w:rsidRPr="00D90382">
              <w:rPr>
                <w:rFonts w:ascii="Calibri" w:hAnsi="Calibri"/>
                <w:sz w:val="18"/>
                <w:szCs w:val="18"/>
              </w:rPr>
              <w:t>0,2 %</w:t>
            </w:r>
          </w:p>
        </w:tc>
        <w:tc>
          <w:tcPr>
            <w:tcW w:w="1043" w:type="dxa"/>
            <w:noWrap/>
            <w:vAlign w:val="center"/>
          </w:tcPr>
          <w:p w:rsidR="002003FD" w:rsidRPr="00D90382" w:rsidRDefault="002003FD" w:rsidP="00163882">
            <w:pPr>
              <w:jc w:val="center"/>
              <w:rPr>
                <w:rFonts w:ascii="Calibri" w:hAnsi="Calibri"/>
                <w:sz w:val="18"/>
                <w:szCs w:val="18"/>
              </w:rPr>
            </w:pPr>
            <w:r w:rsidRPr="00D90382">
              <w:rPr>
                <w:rFonts w:ascii="Calibri" w:hAnsi="Calibri"/>
                <w:sz w:val="18"/>
                <w:szCs w:val="18"/>
              </w:rPr>
              <w:t>16 %</w:t>
            </w:r>
          </w:p>
        </w:tc>
        <w:tc>
          <w:tcPr>
            <w:tcW w:w="1080" w:type="dxa"/>
            <w:noWrap/>
            <w:vAlign w:val="center"/>
          </w:tcPr>
          <w:p w:rsidR="002003FD" w:rsidRPr="00D90382" w:rsidRDefault="008C678E" w:rsidP="00163882">
            <w:pPr>
              <w:jc w:val="center"/>
              <w:rPr>
                <w:rFonts w:ascii="Calibri" w:hAnsi="Calibri"/>
                <w:sz w:val="18"/>
                <w:szCs w:val="18"/>
              </w:rPr>
            </w:pPr>
            <w:r>
              <w:rPr>
                <w:rFonts w:ascii="Calibri" w:hAnsi="Calibri"/>
                <w:sz w:val="18"/>
                <w:szCs w:val="18"/>
              </w:rPr>
              <w:t>6 633</w:t>
            </w:r>
          </w:p>
        </w:tc>
        <w:tc>
          <w:tcPr>
            <w:tcW w:w="1278" w:type="dxa"/>
            <w:noWrap/>
            <w:vAlign w:val="center"/>
          </w:tcPr>
          <w:p w:rsidR="002003FD" w:rsidRPr="00D90382" w:rsidRDefault="002003FD" w:rsidP="00163882">
            <w:pPr>
              <w:jc w:val="center"/>
              <w:rPr>
                <w:rFonts w:ascii="Calibri" w:hAnsi="Calibri"/>
                <w:sz w:val="18"/>
                <w:szCs w:val="18"/>
              </w:rPr>
            </w:pPr>
            <w:r w:rsidRPr="00D90382">
              <w:rPr>
                <w:rFonts w:ascii="Calibri" w:hAnsi="Calibri"/>
                <w:sz w:val="18"/>
                <w:szCs w:val="18"/>
              </w:rPr>
              <w:t>3</w:t>
            </w:r>
            <w:r w:rsidR="008C678E">
              <w:rPr>
                <w:rFonts w:ascii="Calibri" w:hAnsi="Calibri"/>
                <w:sz w:val="18"/>
                <w:szCs w:val="18"/>
              </w:rPr>
              <w:t> 152 136</w:t>
            </w:r>
          </w:p>
        </w:tc>
        <w:tc>
          <w:tcPr>
            <w:tcW w:w="1275" w:type="dxa"/>
            <w:noWrap/>
            <w:vAlign w:val="center"/>
          </w:tcPr>
          <w:p w:rsidR="002003FD" w:rsidRPr="00D90382" w:rsidRDefault="002003FD" w:rsidP="00163882">
            <w:pPr>
              <w:jc w:val="center"/>
              <w:rPr>
                <w:rFonts w:ascii="Calibri" w:hAnsi="Calibri"/>
                <w:sz w:val="18"/>
                <w:szCs w:val="18"/>
              </w:rPr>
            </w:pPr>
            <w:r w:rsidRPr="00D90382">
              <w:rPr>
                <w:rFonts w:ascii="Calibri" w:hAnsi="Calibri"/>
                <w:sz w:val="18"/>
                <w:szCs w:val="18"/>
              </w:rPr>
              <w:t>11 %</w:t>
            </w:r>
          </w:p>
        </w:tc>
      </w:tr>
      <w:tr w:rsidR="002003FD" w:rsidRPr="00D90382">
        <w:trPr>
          <w:cnfStyle w:val="000000100000"/>
          <w:trHeight w:val="270"/>
        </w:trPr>
        <w:tc>
          <w:tcPr>
            <w:tcW w:w="1384" w:type="dxa"/>
            <w:gridSpan w:val="2"/>
            <w:noWrap/>
            <w:vAlign w:val="center"/>
          </w:tcPr>
          <w:p w:rsidR="002003FD" w:rsidRPr="00D90382" w:rsidRDefault="002003FD" w:rsidP="00D90382">
            <w:pPr>
              <w:rPr>
                <w:rFonts w:ascii="Calibri" w:hAnsi="Calibri"/>
                <w:b/>
                <w:bCs/>
                <w:sz w:val="18"/>
                <w:szCs w:val="18"/>
              </w:rPr>
            </w:pPr>
            <w:r w:rsidRPr="00D90382">
              <w:rPr>
                <w:rFonts w:ascii="Calibri" w:hAnsi="Calibri"/>
                <w:b/>
                <w:bCs/>
                <w:sz w:val="18"/>
                <w:szCs w:val="18"/>
              </w:rPr>
              <w:t>Lastbil</w:t>
            </w:r>
          </w:p>
        </w:tc>
        <w:tc>
          <w:tcPr>
            <w:tcW w:w="1134" w:type="dxa"/>
            <w:noWrap/>
            <w:vAlign w:val="center"/>
          </w:tcPr>
          <w:p w:rsidR="002003FD" w:rsidRPr="00D90382" w:rsidRDefault="002003FD" w:rsidP="00163882">
            <w:pPr>
              <w:jc w:val="center"/>
              <w:rPr>
                <w:rFonts w:ascii="Calibri" w:hAnsi="Calibri"/>
                <w:sz w:val="18"/>
                <w:szCs w:val="18"/>
              </w:rPr>
            </w:pPr>
          </w:p>
        </w:tc>
        <w:tc>
          <w:tcPr>
            <w:tcW w:w="1276" w:type="dxa"/>
            <w:noWrap/>
            <w:vAlign w:val="center"/>
          </w:tcPr>
          <w:p w:rsidR="002003FD" w:rsidRPr="00D90382" w:rsidRDefault="002003FD" w:rsidP="00163882">
            <w:pPr>
              <w:jc w:val="center"/>
              <w:rPr>
                <w:rFonts w:ascii="Calibri" w:hAnsi="Calibri"/>
                <w:sz w:val="18"/>
                <w:szCs w:val="18"/>
              </w:rPr>
            </w:pPr>
          </w:p>
        </w:tc>
        <w:tc>
          <w:tcPr>
            <w:tcW w:w="851" w:type="dxa"/>
            <w:noWrap/>
            <w:vAlign w:val="center"/>
          </w:tcPr>
          <w:p w:rsidR="002003FD" w:rsidRPr="00D90382" w:rsidRDefault="002003FD" w:rsidP="00163882">
            <w:pPr>
              <w:jc w:val="center"/>
              <w:rPr>
                <w:rFonts w:ascii="Calibri" w:hAnsi="Calibri"/>
                <w:sz w:val="18"/>
                <w:szCs w:val="18"/>
              </w:rPr>
            </w:pPr>
          </w:p>
        </w:tc>
        <w:tc>
          <w:tcPr>
            <w:tcW w:w="1043" w:type="dxa"/>
            <w:noWrap/>
            <w:vAlign w:val="center"/>
          </w:tcPr>
          <w:p w:rsidR="002003FD" w:rsidRPr="00D90382" w:rsidRDefault="002003FD" w:rsidP="00163882">
            <w:pPr>
              <w:jc w:val="center"/>
              <w:rPr>
                <w:rFonts w:ascii="Calibri" w:hAnsi="Calibri"/>
                <w:sz w:val="18"/>
                <w:szCs w:val="18"/>
              </w:rPr>
            </w:pPr>
          </w:p>
        </w:tc>
        <w:tc>
          <w:tcPr>
            <w:tcW w:w="1080" w:type="dxa"/>
            <w:noWrap/>
            <w:vAlign w:val="center"/>
          </w:tcPr>
          <w:p w:rsidR="002003FD" w:rsidRPr="00D90382" w:rsidRDefault="002003FD" w:rsidP="00163882">
            <w:pPr>
              <w:jc w:val="center"/>
              <w:rPr>
                <w:rFonts w:ascii="Calibri" w:hAnsi="Calibri"/>
                <w:sz w:val="18"/>
                <w:szCs w:val="18"/>
              </w:rPr>
            </w:pPr>
          </w:p>
        </w:tc>
        <w:tc>
          <w:tcPr>
            <w:tcW w:w="1278" w:type="dxa"/>
            <w:noWrap/>
            <w:vAlign w:val="center"/>
          </w:tcPr>
          <w:p w:rsidR="002003FD" w:rsidRPr="00D90382" w:rsidRDefault="002003FD" w:rsidP="00163882">
            <w:pPr>
              <w:jc w:val="center"/>
              <w:rPr>
                <w:rFonts w:ascii="Calibri" w:hAnsi="Calibri"/>
                <w:sz w:val="18"/>
                <w:szCs w:val="18"/>
              </w:rPr>
            </w:pPr>
          </w:p>
        </w:tc>
        <w:tc>
          <w:tcPr>
            <w:tcW w:w="1275" w:type="dxa"/>
            <w:noWrap/>
            <w:vAlign w:val="center"/>
          </w:tcPr>
          <w:p w:rsidR="002003FD" w:rsidRPr="00D90382" w:rsidRDefault="002003FD" w:rsidP="00163882">
            <w:pPr>
              <w:jc w:val="center"/>
              <w:rPr>
                <w:rFonts w:ascii="Calibri" w:hAnsi="Calibri"/>
                <w:sz w:val="18"/>
                <w:szCs w:val="18"/>
              </w:rPr>
            </w:pPr>
          </w:p>
        </w:tc>
      </w:tr>
      <w:tr w:rsidR="002003FD" w:rsidRPr="00D90382">
        <w:trPr>
          <w:cnfStyle w:val="000000010000"/>
          <w:trHeight w:val="270"/>
        </w:trPr>
        <w:tc>
          <w:tcPr>
            <w:tcW w:w="236" w:type="dxa"/>
            <w:noWrap/>
            <w:vAlign w:val="center"/>
          </w:tcPr>
          <w:p w:rsidR="002003FD" w:rsidRPr="00D90382" w:rsidRDefault="002003FD" w:rsidP="00D90382">
            <w:pPr>
              <w:rPr>
                <w:rFonts w:ascii="Calibri" w:hAnsi="Calibri" w:cs="Arial"/>
                <w:b/>
                <w:bCs/>
                <w:sz w:val="18"/>
                <w:szCs w:val="18"/>
              </w:rPr>
            </w:pPr>
          </w:p>
        </w:tc>
        <w:tc>
          <w:tcPr>
            <w:tcW w:w="1148" w:type="dxa"/>
            <w:noWrap/>
            <w:vAlign w:val="center"/>
          </w:tcPr>
          <w:p w:rsidR="002003FD" w:rsidRPr="00D90382" w:rsidRDefault="002003FD" w:rsidP="00D90382">
            <w:pPr>
              <w:rPr>
                <w:rFonts w:ascii="Calibri" w:hAnsi="Calibri"/>
                <w:sz w:val="18"/>
                <w:szCs w:val="18"/>
              </w:rPr>
            </w:pPr>
            <w:r w:rsidRPr="00D90382">
              <w:rPr>
                <w:rFonts w:ascii="Calibri" w:hAnsi="Calibri"/>
                <w:sz w:val="18"/>
                <w:szCs w:val="18"/>
              </w:rPr>
              <w:t>≤ 3,5 t</w:t>
            </w:r>
          </w:p>
        </w:tc>
        <w:tc>
          <w:tcPr>
            <w:tcW w:w="1134" w:type="dxa"/>
            <w:noWrap/>
            <w:vAlign w:val="center"/>
          </w:tcPr>
          <w:p w:rsidR="002003FD" w:rsidRPr="00D90382" w:rsidRDefault="002003FD" w:rsidP="00163882">
            <w:pPr>
              <w:jc w:val="center"/>
              <w:rPr>
                <w:rFonts w:ascii="Calibri" w:hAnsi="Calibri"/>
                <w:sz w:val="18"/>
                <w:szCs w:val="18"/>
              </w:rPr>
            </w:pPr>
            <w:r w:rsidRPr="00D90382">
              <w:rPr>
                <w:rFonts w:ascii="Calibri" w:hAnsi="Calibri"/>
                <w:sz w:val="18"/>
                <w:szCs w:val="18"/>
              </w:rPr>
              <w:t>43 %</w:t>
            </w:r>
          </w:p>
        </w:tc>
        <w:tc>
          <w:tcPr>
            <w:tcW w:w="1276" w:type="dxa"/>
            <w:noWrap/>
            <w:vAlign w:val="center"/>
          </w:tcPr>
          <w:p w:rsidR="002003FD" w:rsidRPr="00D90382" w:rsidRDefault="002003FD" w:rsidP="00163882">
            <w:pPr>
              <w:jc w:val="center"/>
              <w:rPr>
                <w:rFonts w:ascii="Calibri" w:hAnsi="Calibri"/>
                <w:sz w:val="18"/>
                <w:szCs w:val="18"/>
              </w:rPr>
            </w:pPr>
            <w:r w:rsidRPr="00D90382">
              <w:rPr>
                <w:rFonts w:ascii="Calibri" w:hAnsi="Calibri"/>
                <w:sz w:val="18"/>
                <w:szCs w:val="18"/>
              </w:rPr>
              <w:t>38 %</w:t>
            </w:r>
          </w:p>
        </w:tc>
        <w:tc>
          <w:tcPr>
            <w:tcW w:w="851" w:type="dxa"/>
            <w:noWrap/>
            <w:vAlign w:val="center"/>
          </w:tcPr>
          <w:p w:rsidR="002003FD" w:rsidRPr="00D90382" w:rsidRDefault="002003FD" w:rsidP="00163882">
            <w:pPr>
              <w:jc w:val="center"/>
              <w:rPr>
                <w:rFonts w:ascii="Calibri" w:hAnsi="Calibri"/>
                <w:sz w:val="18"/>
                <w:szCs w:val="18"/>
              </w:rPr>
            </w:pPr>
            <w:r w:rsidRPr="00D90382">
              <w:rPr>
                <w:rFonts w:ascii="Calibri" w:hAnsi="Calibri"/>
                <w:sz w:val="18"/>
                <w:szCs w:val="18"/>
              </w:rPr>
              <w:t>0,2 %</w:t>
            </w:r>
          </w:p>
        </w:tc>
        <w:tc>
          <w:tcPr>
            <w:tcW w:w="1043" w:type="dxa"/>
            <w:noWrap/>
            <w:vAlign w:val="center"/>
          </w:tcPr>
          <w:p w:rsidR="002003FD" w:rsidRPr="00D90382" w:rsidRDefault="002003FD" w:rsidP="00163882">
            <w:pPr>
              <w:jc w:val="center"/>
              <w:rPr>
                <w:rFonts w:ascii="Calibri" w:hAnsi="Calibri"/>
                <w:sz w:val="18"/>
                <w:szCs w:val="18"/>
              </w:rPr>
            </w:pPr>
            <w:r w:rsidRPr="00D90382">
              <w:rPr>
                <w:rFonts w:ascii="Calibri" w:hAnsi="Calibri"/>
                <w:sz w:val="18"/>
                <w:szCs w:val="18"/>
              </w:rPr>
              <w:t>19 %</w:t>
            </w:r>
          </w:p>
        </w:tc>
        <w:tc>
          <w:tcPr>
            <w:tcW w:w="1080" w:type="dxa"/>
            <w:noWrap/>
            <w:vAlign w:val="center"/>
          </w:tcPr>
          <w:p w:rsidR="002003FD" w:rsidRPr="00D90382" w:rsidRDefault="002003FD" w:rsidP="00163882">
            <w:pPr>
              <w:jc w:val="center"/>
              <w:rPr>
                <w:rFonts w:ascii="Calibri" w:hAnsi="Calibri" w:cs="Tahoma"/>
                <w:sz w:val="18"/>
                <w:szCs w:val="18"/>
              </w:rPr>
            </w:pPr>
            <w:r w:rsidRPr="00D90382">
              <w:rPr>
                <w:rFonts w:ascii="Calibri" w:hAnsi="Calibri" w:cs="Tahoma"/>
                <w:sz w:val="18"/>
                <w:szCs w:val="18"/>
              </w:rPr>
              <w:t>6</w:t>
            </w:r>
            <w:r w:rsidR="008C678E">
              <w:rPr>
                <w:rFonts w:ascii="Calibri" w:hAnsi="Calibri" w:cs="Tahoma"/>
                <w:sz w:val="18"/>
                <w:szCs w:val="18"/>
              </w:rPr>
              <w:t>29</w:t>
            </w:r>
          </w:p>
        </w:tc>
        <w:tc>
          <w:tcPr>
            <w:tcW w:w="1278" w:type="dxa"/>
            <w:noWrap/>
            <w:vAlign w:val="center"/>
          </w:tcPr>
          <w:p w:rsidR="002003FD" w:rsidRPr="00D90382" w:rsidRDefault="008C678E" w:rsidP="00163882">
            <w:pPr>
              <w:jc w:val="center"/>
              <w:rPr>
                <w:rFonts w:ascii="Calibri" w:hAnsi="Calibri" w:cs="Tahoma"/>
                <w:bCs/>
                <w:sz w:val="18"/>
                <w:szCs w:val="18"/>
              </w:rPr>
            </w:pPr>
            <w:r>
              <w:rPr>
                <w:rFonts w:ascii="Calibri" w:hAnsi="Calibri" w:cs="Tahoma"/>
                <w:bCs/>
                <w:sz w:val="18"/>
                <w:szCs w:val="18"/>
              </w:rPr>
              <w:t>296 435</w:t>
            </w:r>
          </w:p>
        </w:tc>
        <w:tc>
          <w:tcPr>
            <w:tcW w:w="1275" w:type="dxa"/>
            <w:noWrap/>
            <w:vAlign w:val="center"/>
          </w:tcPr>
          <w:p w:rsidR="002003FD" w:rsidRPr="00D90382" w:rsidRDefault="002003FD" w:rsidP="00163882">
            <w:pPr>
              <w:jc w:val="center"/>
              <w:rPr>
                <w:rFonts w:ascii="Calibri" w:hAnsi="Calibri"/>
                <w:sz w:val="18"/>
                <w:szCs w:val="18"/>
              </w:rPr>
            </w:pPr>
            <w:r w:rsidRPr="00D90382">
              <w:rPr>
                <w:rFonts w:ascii="Calibri" w:hAnsi="Calibri"/>
                <w:sz w:val="18"/>
                <w:szCs w:val="18"/>
              </w:rPr>
              <w:t>11 %</w:t>
            </w:r>
          </w:p>
        </w:tc>
      </w:tr>
      <w:tr w:rsidR="002003FD" w:rsidRPr="00D90382">
        <w:trPr>
          <w:cnfStyle w:val="000000100000"/>
          <w:trHeight w:val="270"/>
        </w:trPr>
        <w:tc>
          <w:tcPr>
            <w:tcW w:w="236" w:type="dxa"/>
            <w:noWrap/>
            <w:vAlign w:val="center"/>
          </w:tcPr>
          <w:p w:rsidR="002003FD" w:rsidRPr="00D90382" w:rsidRDefault="002003FD" w:rsidP="00D90382">
            <w:pPr>
              <w:rPr>
                <w:rFonts w:ascii="Calibri" w:hAnsi="Calibri" w:cs="Arial"/>
                <w:b/>
                <w:bCs/>
                <w:sz w:val="18"/>
                <w:szCs w:val="18"/>
              </w:rPr>
            </w:pPr>
          </w:p>
        </w:tc>
        <w:tc>
          <w:tcPr>
            <w:tcW w:w="1148" w:type="dxa"/>
            <w:noWrap/>
            <w:vAlign w:val="center"/>
          </w:tcPr>
          <w:p w:rsidR="002003FD" w:rsidRPr="00D90382" w:rsidRDefault="002003FD" w:rsidP="00D90382">
            <w:pPr>
              <w:rPr>
                <w:rFonts w:ascii="Calibri" w:hAnsi="Calibri"/>
                <w:sz w:val="18"/>
                <w:szCs w:val="18"/>
              </w:rPr>
            </w:pPr>
            <w:r w:rsidRPr="00D90382">
              <w:rPr>
                <w:rFonts w:ascii="Calibri" w:hAnsi="Calibri"/>
                <w:sz w:val="18"/>
                <w:szCs w:val="18"/>
              </w:rPr>
              <w:t>&gt; 3,5 t</w:t>
            </w:r>
          </w:p>
        </w:tc>
        <w:tc>
          <w:tcPr>
            <w:tcW w:w="1134" w:type="dxa"/>
            <w:noWrap/>
            <w:vAlign w:val="center"/>
          </w:tcPr>
          <w:p w:rsidR="002003FD" w:rsidRPr="00D90382" w:rsidRDefault="008C678E" w:rsidP="00163882">
            <w:pPr>
              <w:jc w:val="center"/>
              <w:rPr>
                <w:rFonts w:ascii="Calibri" w:hAnsi="Calibri"/>
                <w:sz w:val="18"/>
                <w:szCs w:val="18"/>
              </w:rPr>
            </w:pPr>
            <w:proofErr w:type="gramStart"/>
            <w:r>
              <w:rPr>
                <w:rFonts w:ascii="Calibri" w:hAnsi="Calibri"/>
                <w:sz w:val="18"/>
                <w:szCs w:val="18"/>
              </w:rPr>
              <w:t>35</w:t>
            </w:r>
            <w:r w:rsidR="002003FD" w:rsidRPr="00D90382">
              <w:rPr>
                <w:rFonts w:ascii="Calibri" w:hAnsi="Calibri"/>
                <w:sz w:val="18"/>
                <w:szCs w:val="18"/>
              </w:rPr>
              <w:t>%</w:t>
            </w:r>
            <w:proofErr w:type="gramEnd"/>
          </w:p>
        </w:tc>
        <w:tc>
          <w:tcPr>
            <w:tcW w:w="1276" w:type="dxa"/>
            <w:noWrap/>
            <w:vAlign w:val="center"/>
          </w:tcPr>
          <w:p w:rsidR="002003FD" w:rsidRPr="00D90382" w:rsidRDefault="008C678E" w:rsidP="00163882">
            <w:pPr>
              <w:jc w:val="center"/>
              <w:rPr>
                <w:rFonts w:ascii="Calibri" w:hAnsi="Calibri"/>
                <w:sz w:val="18"/>
                <w:szCs w:val="18"/>
              </w:rPr>
            </w:pPr>
            <w:r>
              <w:rPr>
                <w:rFonts w:ascii="Calibri" w:hAnsi="Calibri"/>
                <w:sz w:val="18"/>
                <w:szCs w:val="18"/>
              </w:rPr>
              <w:t>44</w:t>
            </w:r>
            <w:r w:rsidR="002003FD" w:rsidRPr="00D90382">
              <w:rPr>
                <w:rFonts w:ascii="Calibri" w:hAnsi="Calibri"/>
                <w:sz w:val="18"/>
                <w:szCs w:val="18"/>
              </w:rPr>
              <w:t xml:space="preserve"> %</w:t>
            </w:r>
          </w:p>
        </w:tc>
        <w:tc>
          <w:tcPr>
            <w:tcW w:w="851" w:type="dxa"/>
            <w:noWrap/>
            <w:vAlign w:val="center"/>
          </w:tcPr>
          <w:p w:rsidR="002003FD" w:rsidRPr="00D90382" w:rsidRDefault="002003FD" w:rsidP="00163882">
            <w:pPr>
              <w:jc w:val="center"/>
              <w:rPr>
                <w:rFonts w:ascii="Calibri" w:hAnsi="Calibri"/>
                <w:sz w:val="18"/>
                <w:szCs w:val="18"/>
              </w:rPr>
            </w:pPr>
            <w:r w:rsidRPr="00D90382">
              <w:rPr>
                <w:rFonts w:ascii="Calibri" w:hAnsi="Calibri"/>
                <w:sz w:val="18"/>
                <w:szCs w:val="18"/>
              </w:rPr>
              <w:t>0,6 %</w:t>
            </w:r>
          </w:p>
        </w:tc>
        <w:tc>
          <w:tcPr>
            <w:tcW w:w="1043" w:type="dxa"/>
            <w:noWrap/>
            <w:vAlign w:val="center"/>
          </w:tcPr>
          <w:p w:rsidR="002003FD" w:rsidRPr="00D90382" w:rsidRDefault="002003FD" w:rsidP="00163882">
            <w:pPr>
              <w:jc w:val="center"/>
              <w:rPr>
                <w:rFonts w:ascii="Calibri" w:hAnsi="Calibri"/>
                <w:sz w:val="18"/>
                <w:szCs w:val="18"/>
              </w:rPr>
            </w:pPr>
            <w:r w:rsidRPr="00D90382">
              <w:rPr>
                <w:rFonts w:ascii="Calibri" w:hAnsi="Calibri"/>
                <w:sz w:val="18"/>
                <w:szCs w:val="18"/>
              </w:rPr>
              <w:t>21 %</w:t>
            </w:r>
          </w:p>
        </w:tc>
        <w:tc>
          <w:tcPr>
            <w:tcW w:w="1080" w:type="dxa"/>
            <w:noWrap/>
            <w:vAlign w:val="center"/>
          </w:tcPr>
          <w:p w:rsidR="002003FD" w:rsidRPr="00D90382" w:rsidRDefault="008C678E" w:rsidP="00163882">
            <w:pPr>
              <w:jc w:val="center"/>
              <w:rPr>
                <w:rFonts w:ascii="Calibri" w:hAnsi="Calibri" w:cs="Tahoma"/>
                <w:sz w:val="18"/>
                <w:szCs w:val="18"/>
              </w:rPr>
            </w:pPr>
            <w:r>
              <w:rPr>
                <w:rFonts w:ascii="Calibri" w:hAnsi="Calibri" w:cs="Tahoma"/>
                <w:sz w:val="18"/>
                <w:szCs w:val="18"/>
              </w:rPr>
              <w:t>424</w:t>
            </w:r>
          </w:p>
        </w:tc>
        <w:tc>
          <w:tcPr>
            <w:tcW w:w="1278" w:type="dxa"/>
            <w:noWrap/>
            <w:vAlign w:val="center"/>
          </w:tcPr>
          <w:p w:rsidR="002003FD" w:rsidRPr="00D90382" w:rsidRDefault="008C678E" w:rsidP="00163882">
            <w:pPr>
              <w:jc w:val="center"/>
              <w:rPr>
                <w:rFonts w:ascii="Calibri" w:hAnsi="Calibri" w:cs="Tahoma"/>
                <w:bCs/>
                <w:sz w:val="18"/>
                <w:szCs w:val="18"/>
              </w:rPr>
            </w:pPr>
            <w:r>
              <w:rPr>
                <w:rFonts w:ascii="Calibri" w:hAnsi="Calibri" w:cs="Tahoma"/>
                <w:bCs/>
                <w:sz w:val="18"/>
                <w:szCs w:val="18"/>
              </w:rPr>
              <w:t>75 833</w:t>
            </w:r>
          </w:p>
        </w:tc>
        <w:tc>
          <w:tcPr>
            <w:tcW w:w="1275" w:type="dxa"/>
            <w:noWrap/>
            <w:vAlign w:val="center"/>
          </w:tcPr>
          <w:p w:rsidR="002003FD" w:rsidRPr="00D90382" w:rsidRDefault="002003FD" w:rsidP="00163882">
            <w:pPr>
              <w:jc w:val="center"/>
              <w:rPr>
                <w:rFonts w:ascii="Calibri" w:hAnsi="Calibri"/>
                <w:sz w:val="18"/>
                <w:szCs w:val="18"/>
              </w:rPr>
            </w:pPr>
            <w:r w:rsidRPr="00D90382">
              <w:rPr>
                <w:rFonts w:ascii="Calibri" w:hAnsi="Calibri"/>
                <w:sz w:val="18"/>
                <w:szCs w:val="18"/>
              </w:rPr>
              <w:t>18 %</w:t>
            </w:r>
          </w:p>
        </w:tc>
      </w:tr>
      <w:tr w:rsidR="002003FD" w:rsidRPr="00D90382">
        <w:trPr>
          <w:cnfStyle w:val="000000010000"/>
          <w:trHeight w:val="270"/>
        </w:trPr>
        <w:tc>
          <w:tcPr>
            <w:tcW w:w="1384" w:type="dxa"/>
            <w:gridSpan w:val="2"/>
            <w:noWrap/>
            <w:vAlign w:val="center"/>
          </w:tcPr>
          <w:p w:rsidR="002003FD" w:rsidRPr="00D90382" w:rsidRDefault="002003FD" w:rsidP="00D90382">
            <w:pPr>
              <w:rPr>
                <w:rFonts w:ascii="Calibri" w:hAnsi="Calibri"/>
                <w:b/>
                <w:bCs/>
                <w:sz w:val="18"/>
                <w:szCs w:val="18"/>
              </w:rPr>
            </w:pPr>
            <w:r w:rsidRPr="00D90382">
              <w:rPr>
                <w:rFonts w:ascii="Calibri" w:hAnsi="Calibri"/>
                <w:b/>
                <w:bCs/>
                <w:sz w:val="18"/>
                <w:szCs w:val="18"/>
              </w:rPr>
              <w:t>Buss</w:t>
            </w:r>
          </w:p>
        </w:tc>
        <w:tc>
          <w:tcPr>
            <w:tcW w:w="1134" w:type="dxa"/>
            <w:noWrap/>
            <w:vAlign w:val="center"/>
          </w:tcPr>
          <w:p w:rsidR="002003FD" w:rsidRPr="00D90382" w:rsidRDefault="002003FD" w:rsidP="00163882">
            <w:pPr>
              <w:jc w:val="center"/>
              <w:rPr>
                <w:rFonts w:ascii="Calibri" w:hAnsi="Calibri"/>
                <w:sz w:val="18"/>
                <w:szCs w:val="18"/>
              </w:rPr>
            </w:pPr>
          </w:p>
        </w:tc>
        <w:tc>
          <w:tcPr>
            <w:tcW w:w="1276" w:type="dxa"/>
            <w:noWrap/>
            <w:vAlign w:val="center"/>
          </w:tcPr>
          <w:p w:rsidR="002003FD" w:rsidRPr="00D90382" w:rsidRDefault="002003FD" w:rsidP="00163882">
            <w:pPr>
              <w:jc w:val="center"/>
              <w:rPr>
                <w:rFonts w:ascii="Calibri" w:hAnsi="Calibri"/>
                <w:sz w:val="18"/>
                <w:szCs w:val="18"/>
              </w:rPr>
            </w:pPr>
          </w:p>
        </w:tc>
        <w:tc>
          <w:tcPr>
            <w:tcW w:w="851" w:type="dxa"/>
            <w:noWrap/>
            <w:vAlign w:val="center"/>
          </w:tcPr>
          <w:p w:rsidR="002003FD" w:rsidRPr="00D90382" w:rsidRDefault="002003FD" w:rsidP="00163882">
            <w:pPr>
              <w:jc w:val="center"/>
              <w:rPr>
                <w:rFonts w:ascii="Calibri" w:hAnsi="Calibri"/>
                <w:sz w:val="18"/>
                <w:szCs w:val="18"/>
              </w:rPr>
            </w:pPr>
          </w:p>
        </w:tc>
        <w:tc>
          <w:tcPr>
            <w:tcW w:w="1043" w:type="dxa"/>
            <w:noWrap/>
            <w:vAlign w:val="center"/>
          </w:tcPr>
          <w:p w:rsidR="002003FD" w:rsidRPr="00D90382" w:rsidRDefault="002003FD" w:rsidP="00163882">
            <w:pPr>
              <w:jc w:val="center"/>
              <w:rPr>
                <w:rFonts w:ascii="Calibri" w:hAnsi="Calibri"/>
                <w:sz w:val="18"/>
                <w:szCs w:val="18"/>
              </w:rPr>
            </w:pPr>
          </w:p>
        </w:tc>
        <w:tc>
          <w:tcPr>
            <w:tcW w:w="1080" w:type="dxa"/>
            <w:noWrap/>
            <w:vAlign w:val="center"/>
          </w:tcPr>
          <w:p w:rsidR="002003FD" w:rsidRPr="00D90382" w:rsidRDefault="002003FD" w:rsidP="00163882">
            <w:pPr>
              <w:jc w:val="center"/>
              <w:rPr>
                <w:rFonts w:ascii="Calibri" w:hAnsi="Calibri"/>
                <w:sz w:val="18"/>
                <w:szCs w:val="18"/>
              </w:rPr>
            </w:pPr>
          </w:p>
        </w:tc>
        <w:tc>
          <w:tcPr>
            <w:tcW w:w="1278" w:type="dxa"/>
            <w:noWrap/>
            <w:vAlign w:val="center"/>
          </w:tcPr>
          <w:p w:rsidR="002003FD" w:rsidRPr="00D90382" w:rsidRDefault="002003FD" w:rsidP="00163882">
            <w:pPr>
              <w:jc w:val="center"/>
              <w:rPr>
                <w:rFonts w:ascii="Calibri" w:hAnsi="Calibri"/>
                <w:sz w:val="18"/>
                <w:szCs w:val="18"/>
              </w:rPr>
            </w:pPr>
          </w:p>
        </w:tc>
        <w:tc>
          <w:tcPr>
            <w:tcW w:w="1275" w:type="dxa"/>
            <w:noWrap/>
            <w:vAlign w:val="center"/>
          </w:tcPr>
          <w:p w:rsidR="002003FD" w:rsidRPr="00D90382" w:rsidRDefault="002003FD" w:rsidP="00163882">
            <w:pPr>
              <w:jc w:val="center"/>
              <w:rPr>
                <w:rFonts w:ascii="Calibri" w:hAnsi="Calibri"/>
                <w:sz w:val="18"/>
                <w:szCs w:val="18"/>
              </w:rPr>
            </w:pPr>
          </w:p>
        </w:tc>
      </w:tr>
      <w:tr w:rsidR="002003FD" w:rsidRPr="00D90382">
        <w:trPr>
          <w:cnfStyle w:val="000000100000"/>
          <w:trHeight w:val="270"/>
        </w:trPr>
        <w:tc>
          <w:tcPr>
            <w:tcW w:w="236" w:type="dxa"/>
            <w:noWrap/>
            <w:vAlign w:val="center"/>
          </w:tcPr>
          <w:p w:rsidR="002003FD" w:rsidRPr="00D90382" w:rsidRDefault="002003FD" w:rsidP="00D90382">
            <w:pPr>
              <w:rPr>
                <w:rFonts w:ascii="Calibri" w:hAnsi="Calibri" w:cs="Arial"/>
                <w:b/>
                <w:bCs/>
                <w:sz w:val="18"/>
                <w:szCs w:val="18"/>
              </w:rPr>
            </w:pPr>
          </w:p>
        </w:tc>
        <w:tc>
          <w:tcPr>
            <w:tcW w:w="1148" w:type="dxa"/>
            <w:noWrap/>
            <w:vAlign w:val="center"/>
          </w:tcPr>
          <w:p w:rsidR="002003FD" w:rsidRPr="00D90382" w:rsidRDefault="002003FD" w:rsidP="00D90382">
            <w:pPr>
              <w:rPr>
                <w:rFonts w:ascii="Calibri" w:hAnsi="Calibri"/>
                <w:sz w:val="18"/>
                <w:szCs w:val="18"/>
              </w:rPr>
            </w:pPr>
            <w:r w:rsidRPr="00D90382">
              <w:rPr>
                <w:rFonts w:ascii="Calibri" w:hAnsi="Calibri"/>
                <w:sz w:val="18"/>
                <w:szCs w:val="18"/>
              </w:rPr>
              <w:t>≤ 3,5 t</w:t>
            </w:r>
          </w:p>
        </w:tc>
        <w:tc>
          <w:tcPr>
            <w:tcW w:w="1134" w:type="dxa"/>
            <w:noWrap/>
            <w:vAlign w:val="center"/>
          </w:tcPr>
          <w:p w:rsidR="002003FD" w:rsidRPr="00D90382" w:rsidRDefault="00163882" w:rsidP="00163882">
            <w:pPr>
              <w:jc w:val="center"/>
              <w:rPr>
                <w:rFonts w:ascii="Calibri" w:hAnsi="Calibri" w:cs="Tahoma"/>
                <w:sz w:val="18"/>
                <w:szCs w:val="18"/>
              </w:rPr>
            </w:pPr>
            <w:r>
              <w:rPr>
                <w:rFonts w:ascii="Calibri" w:hAnsi="Calibri" w:cs="Tahoma"/>
                <w:sz w:val="18"/>
                <w:szCs w:val="18"/>
              </w:rPr>
              <w:t>40</w:t>
            </w:r>
            <w:r w:rsidR="002003FD" w:rsidRPr="00D90382">
              <w:rPr>
                <w:rFonts w:ascii="Calibri" w:hAnsi="Calibri" w:cs="Tahoma"/>
                <w:sz w:val="18"/>
                <w:szCs w:val="18"/>
              </w:rPr>
              <w:t xml:space="preserve"> %</w:t>
            </w:r>
          </w:p>
        </w:tc>
        <w:tc>
          <w:tcPr>
            <w:tcW w:w="1276" w:type="dxa"/>
            <w:noWrap/>
            <w:vAlign w:val="center"/>
          </w:tcPr>
          <w:p w:rsidR="002003FD" w:rsidRPr="00D90382" w:rsidRDefault="007A5135" w:rsidP="00163882">
            <w:pPr>
              <w:jc w:val="center"/>
              <w:rPr>
                <w:rFonts w:ascii="Calibri" w:hAnsi="Calibri" w:cs="Tahoma"/>
                <w:sz w:val="18"/>
                <w:szCs w:val="18"/>
              </w:rPr>
            </w:pPr>
            <w:r>
              <w:rPr>
                <w:rFonts w:ascii="Calibri" w:hAnsi="Calibri" w:cs="Tahoma"/>
                <w:sz w:val="18"/>
                <w:szCs w:val="18"/>
              </w:rPr>
              <w:t>49</w:t>
            </w:r>
            <w:r w:rsidR="002003FD" w:rsidRPr="00D90382">
              <w:rPr>
                <w:rFonts w:ascii="Calibri" w:hAnsi="Calibri" w:cs="Tahoma"/>
                <w:sz w:val="18"/>
                <w:szCs w:val="18"/>
              </w:rPr>
              <w:t xml:space="preserve"> %</w:t>
            </w:r>
          </w:p>
        </w:tc>
        <w:tc>
          <w:tcPr>
            <w:tcW w:w="851" w:type="dxa"/>
            <w:noWrap/>
            <w:vAlign w:val="center"/>
          </w:tcPr>
          <w:p w:rsidR="002003FD" w:rsidRPr="00D90382" w:rsidRDefault="00163882" w:rsidP="00163882">
            <w:pPr>
              <w:jc w:val="center"/>
              <w:rPr>
                <w:rFonts w:ascii="Calibri" w:hAnsi="Calibri" w:cs="Tahoma"/>
                <w:sz w:val="18"/>
                <w:szCs w:val="18"/>
              </w:rPr>
            </w:pPr>
            <w:r>
              <w:rPr>
                <w:rFonts w:ascii="Calibri" w:hAnsi="Calibri" w:cs="Tahoma"/>
                <w:sz w:val="18"/>
                <w:szCs w:val="18"/>
              </w:rPr>
              <w:t>0,0</w:t>
            </w:r>
            <w:r w:rsidR="002003FD" w:rsidRPr="00D90382">
              <w:rPr>
                <w:rFonts w:ascii="Calibri" w:hAnsi="Calibri" w:cs="Tahoma"/>
                <w:sz w:val="18"/>
                <w:szCs w:val="18"/>
              </w:rPr>
              <w:t xml:space="preserve"> %</w:t>
            </w:r>
          </w:p>
        </w:tc>
        <w:tc>
          <w:tcPr>
            <w:tcW w:w="1043" w:type="dxa"/>
            <w:noWrap/>
            <w:vAlign w:val="center"/>
          </w:tcPr>
          <w:p w:rsidR="002003FD" w:rsidRPr="00D90382" w:rsidRDefault="007A5135" w:rsidP="00163882">
            <w:pPr>
              <w:jc w:val="center"/>
              <w:rPr>
                <w:rFonts w:ascii="Calibri" w:hAnsi="Calibri" w:cs="Tahoma"/>
                <w:sz w:val="18"/>
                <w:szCs w:val="18"/>
              </w:rPr>
            </w:pPr>
            <w:r>
              <w:rPr>
                <w:rFonts w:ascii="Calibri" w:hAnsi="Calibri" w:cs="Tahoma"/>
                <w:sz w:val="18"/>
                <w:szCs w:val="18"/>
              </w:rPr>
              <w:t>11</w:t>
            </w:r>
            <w:r w:rsidR="002003FD" w:rsidRPr="00D90382">
              <w:rPr>
                <w:rFonts w:ascii="Calibri" w:hAnsi="Calibri" w:cs="Tahoma"/>
                <w:sz w:val="18"/>
                <w:szCs w:val="18"/>
              </w:rPr>
              <w:t xml:space="preserve"> %</w:t>
            </w:r>
          </w:p>
        </w:tc>
        <w:tc>
          <w:tcPr>
            <w:tcW w:w="1080" w:type="dxa"/>
            <w:noWrap/>
            <w:vAlign w:val="center"/>
          </w:tcPr>
          <w:p w:rsidR="002003FD" w:rsidRPr="00D90382" w:rsidRDefault="00163882" w:rsidP="00163882">
            <w:pPr>
              <w:jc w:val="center"/>
              <w:rPr>
                <w:rFonts w:ascii="Calibri" w:hAnsi="Calibri" w:cs="Tahoma"/>
                <w:sz w:val="18"/>
                <w:szCs w:val="18"/>
              </w:rPr>
            </w:pPr>
            <w:r>
              <w:rPr>
                <w:rFonts w:ascii="Calibri" w:hAnsi="Calibri" w:cs="Tahoma"/>
                <w:sz w:val="18"/>
                <w:szCs w:val="18"/>
              </w:rPr>
              <w:t>0</w:t>
            </w:r>
          </w:p>
        </w:tc>
        <w:tc>
          <w:tcPr>
            <w:tcW w:w="1278" w:type="dxa"/>
            <w:noWrap/>
            <w:vAlign w:val="center"/>
          </w:tcPr>
          <w:p w:rsidR="002003FD" w:rsidRPr="00D90382" w:rsidRDefault="007A5135" w:rsidP="00163882">
            <w:pPr>
              <w:jc w:val="center"/>
              <w:rPr>
                <w:rFonts w:ascii="Calibri" w:hAnsi="Calibri" w:cs="Tahoma"/>
                <w:bCs/>
                <w:sz w:val="18"/>
                <w:szCs w:val="18"/>
              </w:rPr>
            </w:pPr>
            <w:r>
              <w:rPr>
                <w:rFonts w:ascii="Calibri" w:hAnsi="Calibri" w:cs="Tahoma"/>
                <w:bCs/>
                <w:sz w:val="18"/>
                <w:szCs w:val="18"/>
              </w:rPr>
              <w:t>205</w:t>
            </w:r>
          </w:p>
        </w:tc>
        <w:tc>
          <w:tcPr>
            <w:tcW w:w="1275" w:type="dxa"/>
            <w:noWrap/>
            <w:vAlign w:val="center"/>
          </w:tcPr>
          <w:p w:rsidR="002003FD" w:rsidRPr="00D90382" w:rsidRDefault="007257E0" w:rsidP="00163882">
            <w:pPr>
              <w:jc w:val="center"/>
              <w:rPr>
                <w:rFonts w:ascii="Calibri" w:hAnsi="Calibri"/>
                <w:sz w:val="18"/>
                <w:szCs w:val="18"/>
              </w:rPr>
            </w:pPr>
            <w:r>
              <w:rPr>
                <w:rFonts w:ascii="Calibri" w:hAnsi="Calibri"/>
                <w:sz w:val="18"/>
                <w:szCs w:val="18"/>
              </w:rPr>
              <w:t>14</w:t>
            </w:r>
            <w:r w:rsidR="002003FD" w:rsidRPr="00D90382">
              <w:rPr>
                <w:rFonts w:ascii="Calibri" w:hAnsi="Calibri"/>
                <w:sz w:val="18"/>
                <w:szCs w:val="18"/>
              </w:rPr>
              <w:t xml:space="preserve"> %</w:t>
            </w:r>
          </w:p>
        </w:tc>
      </w:tr>
      <w:tr w:rsidR="002003FD" w:rsidRPr="00D90382">
        <w:trPr>
          <w:cnfStyle w:val="000000010000"/>
          <w:trHeight w:val="270"/>
        </w:trPr>
        <w:tc>
          <w:tcPr>
            <w:tcW w:w="236" w:type="dxa"/>
            <w:noWrap/>
            <w:vAlign w:val="center"/>
          </w:tcPr>
          <w:p w:rsidR="002003FD" w:rsidRPr="00D90382" w:rsidRDefault="002003FD" w:rsidP="00D90382">
            <w:pPr>
              <w:rPr>
                <w:rFonts w:ascii="Calibri" w:hAnsi="Calibri" w:cs="Arial"/>
                <w:b/>
                <w:bCs/>
                <w:sz w:val="18"/>
                <w:szCs w:val="18"/>
              </w:rPr>
            </w:pPr>
          </w:p>
        </w:tc>
        <w:tc>
          <w:tcPr>
            <w:tcW w:w="1148" w:type="dxa"/>
            <w:noWrap/>
            <w:vAlign w:val="center"/>
          </w:tcPr>
          <w:p w:rsidR="002003FD" w:rsidRPr="00D90382" w:rsidRDefault="002003FD" w:rsidP="00D90382">
            <w:pPr>
              <w:rPr>
                <w:rFonts w:ascii="Calibri" w:hAnsi="Calibri"/>
                <w:sz w:val="18"/>
                <w:szCs w:val="18"/>
              </w:rPr>
            </w:pPr>
            <w:r w:rsidRPr="00D90382">
              <w:rPr>
                <w:rFonts w:ascii="Calibri" w:hAnsi="Calibri"/>
                <w:sz w:val="18"/>
                <w:szCs w:val="18"/>
              </w:rPr>
              <w:t>&gt; 3,5 t</w:t>
            </w:r>
          </w:p>
        </w:tc>
        <w:tc>
          <w:tcPr>
            <w:tcW w:w="1134" w:type="dxa"/>
            <w:noWrap/>
            <w:vAlign w:val="center"/>
          </w:tcPr>
          <w:p w:rsidR="002003FD" w:rsidRPr="00D90382" w:rsidRDefault="00466AA3" w:rsidP="00163882">
            <w:pPr>
              <w:jc w:val="center"/>
              <w:rPr>
                <w:rFonts w:ascii="Calibri" w:hAnsi="Calibri" w:cs="Tahoma"/>
                <w:sz w:val="18"/>
                <w:szCs w:val="18"/>
              </w:rPr>
            </w:pPr>
            <w:r>
              <w:rPr>
                <w:rFonts w:ascii="Calibri" w:hAnsi="Calibri" w:cs="Tahoma"/>
                <w:sz w:val="18"/>
                <w:szCs w:val="18"/>
              </w:rPr>
              <w:t>59</w:t>
            </w:r>
            <w:r w:rsidR="002003FD" w:rsidRPr="00D90382">
              <w:rPr>
                <w:rFonts w:ascii="Calibri" w:hAnsi="Calibri" w:cs="Tahoma"/>
                <w:sz w:val="18"/>
                <w:szCs w:val="18"/>
              </w:rPr>
              <w:t xml:space="preserve"> %</w:t>
            </w:r>
          </w:p>
        </w:tc>
        <w:tc>
          <w:tcPr>
            <w:tcW w:w="1276" w:type="dxa"/>
            <w:noWrap/>
            <w:vAlign w:val="center"/>
          </w:tcPr>
          <w:p w:rsidR="002003FD" w:rsidRPr="00D90382" w:rsidRDefault="00466AA3" w:rsidP="00163882">
            <w:pPr>
              <w:jc w:val="center"/>
              <w:rPr>
                <w:rFonts w:ascii="Calibri" w:hAnsi="Calibri" w:cs="Tahoma"/>
                <w:sz w:val="18"/>
                <w:szCs w:val="18"/>
              </w:rPr>
            </w:pPr>
            <w:r>
              <w:rPr>
                <w:rFonts w:ascii="Calibri" w:hAnsi="Calibri" w:cs="Tahoma"/>
                <w:sz w:val="18"/>
                <w:szCs w:val="18"/>
              </w:rPr>
              <w:t>30</w:t>
            </w:r>
            <w:r w:rsidR="002003FD" w:rsidRPr="00D90382">
              <w:rPr>
                <w:rFonts w:ascii="Calibri" w:hAnsi="Calibri" w:cs="Tahoma"/>
                <w:sz w:val="18"/>
                <w:szCs w:val="18"/>
              </w:rPr>
              <w:t xml:space="preserve"> %</w:t>
            </w:r>
          </w:p>
        </w:tc>
        <w:tc>
          <w:tcPr>
            <w:tcW w:w="851" w:type="dxa"/>
            <w:noWrap/>
            <w:vAlign w:val="center"/>
          </w:tcPr>
          <w:p w:rsidR="002003FD" w:rsidRPr="00D90382" w:rsidRDefault="00466AA3" w:rsidP="00163882">
            <w:pPr>
              <w:jc w:val="center"/>
              <w:rPr>
                <w:rFonts w:ascii="Calibri" w:hAnsi="Calibri" w:cs="Tahoma"/>
                <w:sz w:val="18"/>
                <w:szCs w:val="18"/>
              </w:rPr>
            </w:pPr>
            <w:r>
              <w:rPr>
                <w:rFonts w:ascii="Calibri" w:hAnsi="Calibri" w:cs="Tahoma"/>
                <w:sz w:val="18"/>
                <w:szCs w:val="18"/>
              </w:rPr>
              <w:t>0,1</w:t>
            </w:r>
            <w:r w:rsidR="002003FD" w:rsidRPr="00D90382">
              <w:rPr>
                <w:rFonts w:ascii="Calibri" w:hAnsi="Calibri" w:cs="Tahoma"/>
                <w:sz w:val="18"/>
                <w:szCs w:val="18"/>
              </w:rPr>
              <w:t xml:space="preserve"> %</w:t>
            </w:r>
          </w:p>
        </w:tc>
        <w:tc>
          <w:tcPr>
            <w:tcW w:w="1043" w:type="dxa"/>
            <w:noWrap/>
            <w:vAlign w:val="center"/>
          </w:tcPr>
          <w:p w:rsidR="002003FD" w:rsidRPr="00D90382" w:rsidRDefault="002003FD" w:rsidP="00163882">
            <w:pPr>
              <w:jc w:val="center"/>
              <w:rPr>
                <w:rFonts w:ascii="Calibri" w:hAnsi="Calibri" w:cs="Tahoma"/>
                <w:sz w:val="18"/>
                <w:szCs w:val="18"/>
              </w:rPr>
            </w:pPr>
            <w:r w:rsidRPr="00D90382">
              <w:rPr>
                <w:rFonts w:ascii="Calibri" w:hAnsi="Calibri" w:cs="Tahoma"/>
                <w:sz w:val="18"/>
                <w:szCs w:val="18"/>
              </w:rPr>
              <w:t>11 %</w:t>
            </w:r>
          </w:p>
        </w:tc>
        <w:tc>
          <w:tcPr>
            <w:tcW w:w="1080" w:type="dxa"/>
            <w:noWrap/>
            <w:vAlign w:val="center"/>
          </w:tcPr>
          <w:p w:rsidR="002003FD" w:rsidRPr="00D90382" w:rsidRDefault="00466AA3" w:rsidP="00163882">
            <w:pPr>
              <w:jc w:val="center"/>
              <w:rPr>
                <w:rFonts w:ascii="Calibri" w:hAnsi="Calibri" w:cs="Tahoma"/>
                <w:sz w:val="18"/>
                <w:szCs w:val="18"/>
              </w:rPr>
            </w:pPr>
            <w:r>
              <w:rPr>
                <w:rFonts w:ascii="Calibri" w:hAnsi="Calibri" w:cs="Tahoma"/>
                <w:sz w:val="18"/>
                <w:szCs w:val="18"/>
              </w:rPr>
              <w:t>10</w:t>
            </w:r>
          </w:p>
        </w:tc>
        <w:tc>
          <w:tcPr>
            <w:tcW w:w="1278" w:type="dxa"/>
            <w:noWrap/>
            <w:vAlign w:val="center"/>
          </w:tcPr>
          <w:p w:rsidR="002003FD" w:rsidRPr="00D90382" w:rsidRDefault="00466AA3" w:rsidP="00163882">
            <w:pPr>
              <w:jc w:val="center"/>
              <w:rPr>
                <w:rFonts w:ascii="Calibri" w:hAnsi="Calibri" w:cs="Tahoma"/>
                <w:bCs/>
                <w:sz w:val="18"/>
                <w:szCs w:val="18"/>
              </w:rPr>
            </w:pPr>
            <w:r>
              <w:rPr>
                <w:rFonts w:ascii="Calibri" w:hAnsi="Calibri" w:cs="Tahoma"/>
                <w:bCs/>
                <w:sz w:val="18"/>
                <w:szCs w:val="18"/>
              </w:rPr>
              <w:t>13 588</w:t>
            </w:r>
          </w:p>
        </w:tc>
        <w:tc>
          <w:tcPr>
            <w:tcW w:w="1275" w:type="dxa"/>
            <w:noWrap/>
            <w:vAlign w:val="center"/>
          </w:tcPr>
          <w:p w:rsidR="002003FD" w:rsidRPr="00D90382" w:rsidRDefault="007257E0" w:rsidP="00163882">
            <w:pPr>
              <w:jc w:val="center"/>
              <w:rPr>
                <w:rFonts w:ascii="Calibri" w:hAnsi="Calibri"/>
                <w:sz w:val="18"/>
                <w:szCs w:val="18"/>
              </w:rPr>
            </w:pPr>
            <w:r>
              <w:rPr>
                <w:rFonts w:ascii="Calibri" w:hAnsi="Calibri"/>
                <w:sz w:val="18"/>
                <w:szCs w:val="18"/>
              </w:rPr>
              <w:t>12</w:t>
            </w:r>
            <w:r w:rsidR="002003FD" w:rsidRPr="00D90382">
              <w:rPr>
                <w:rFonts w:ascii="Calibri" w:hAnsi="Calibri"/>
                <w:sz w:val="18"/>
                <w:szCs w:val="18"/>
              </w:rPr>
              <w:t xml:space="preserve"> %</w:t>
            </w:r>
          </w:p>
        </w:tc>
      </w:tr>
      <w:tr w:rsidR="002003FD" w:rsidRPr="00D90382">
        <w:trPr>
          <w:cnfStyle w:val="000000100000"/>
          <w:trHeight w:val="270"/>
        </w:trPr>
        <w:tc>
          <w:tcPr>
            <w:tcW w:w="1384" w:type="dxa"/>
            <w:gridSpan w:val="2"/>
            <w:noWrap/>
            <w:vAlign w:val="center"/>
          </w:tcPr>
          <w:p w:rsidR="002003FD" w:rsidRPr="00D90382" w:rsidRDefault="002003FD" w:rsidP="00D90382">
            <w:pPr>
              <w:rPr>
                <w:rFonts w:ascii="Calibri" w:hAnsi="Calibri"/>
                <w:b/>
                <w:bCs/>
                <w:sz w:val="18"/>
                <w:szCs w:val="18"/>
              </w:rPr>
            </w:pPr>
            <w:r w:rsidRPr="00D90382">
              <w:rPr>
                <w:rFonts w:ascii="Calibri" w:hAnsi="Calibri"/>
                <w:b/>
                <w:bCs/>
                <w:sz w:val="18"/>
                <w:szCs w:val="18"/>
              </w:rPr>
              <w:t>Släp</w:t>
            </w:r>
          </w:p>
        </w:tc>
        <w:tc>
          <w:tcPr>
            <w:tcW w:w="1134" w:type="dxa"/>
            <w:noWrap/>
            <w:vAlign w:val="center"/>
          </w:tcPr>
          <w:p w:rsidR="002003FD" w:rsidRPr="00D90382" w:rsidRDefault="002003FD" w:rsidP="00163882">
            <w:pPr>
              <w:jc w:val="center"/>
              <w:rPr>
                <w:rFonts w:ascii="Calibri" w:hAnsi="Calibri"/>
                <w:sz w:val="18"/>
                <w:szCs w:val="18"/>
              </w:rPr>
            </w:pPr>
          </w:p>
        </w:tc>
        <w:tc>
          <w:tcPr>
            <w:tcW w:w="1276" w:type="dxa"/>
            <w:noWrap/>
            <w:vAlign w:val="center"/>
          </w:tcPr>
          <w:p w:rsidR="002003FD" w:rsidRPr="00D90382" w:rsidRDefault="002003FD" w:rsidP="00163882">
            <w:pPr>
              <w:jc w:val="center"/>
              <w:rPr>
                <w:rFonts w:ascii="Calibri" w:hAnsi="Calibri"/>
                <w:sz w:val="18"/>
                <w:szCs w:val="18"/>
              </w:rPr>
            </w:pPr>
          </w:p>
        </w:tc>
        <w:tc>
          <w:tcPr>
            <w:tcW w:w="851" w:type="dxa"/>
            <w:noWrap/>
            <w:vAlign w:val="center"/>
          </w:tcPr>
          <w:p w:rsidR="002003FD" w:rsidRPr="00D90382" w:rsidRDefault="002003FD" w:rsidP="00163882">
            <w:pPr>
              <w:jc w:val="center"/>
              <w:rPr>
                <w:rFonts w:ascii="Calibri" w:hAnsi="Calibri"/>
                <w:sz w:val="18"/>
                <w:szCs w:val="18"/>
              </w:rPr>
            </w:pPr>
          </w:p>
        </w:tc>
        <w:tc>
          <w:tcPr>
            <w:tcW w:w="1043" w:type="dxa"/>
            <w:noWrap/>
            <w:vAlign w:val="center"/>
          </w:tcPr>
          <w:p w:rsidR="002003FD" w:rsidRPr="00D90382" w:rsidRDefault="002003FD" w:rsidP="00163882">
            <w:pPr>
              <w:jc w:val="center"/>
              <w:rPr>
                <w:rFonts w:ascii="Calibri" w:hAnsi="Calibri"/>
                <w:sz w:val="18"/>
                <w:szCs w:val="18"/>
              </w:rPr>
            </w:pPr>
          </w:p>
        </w:tc>
        <w:tc>
          <w:tcPr>
            <w:tcW w:w="1080" w:type="dxa"/>
            <w:noWrap/>
            <w:vAlign w:val="center"/>
          </w:tcPr>
          <w:p w:rsidR="002003FD" w:rsidRPr="00D90382" w:rsidRDefault="002003FD" w:rsidP="00163882">
            <w:pPr>
              <w:jc w:val="center"/>
              <w:rPr>
                <w:rFonts w:ascii="Calibri" w:hAnsi="Calibri"/>
                <w:sz w:val="18"/>
                <w:szCs w:val="18"/>
              </w:rPr>
            </w:pPr>
          </w:p>
        </w:tc>
        <w:tc>
          <w:tcPr>
            <w:tcW w:w="1278" w:type="dxa"/>
            <w:noWrap/>
            <w:vAlign w:val="center"/>
          </w:tcPr>
          <w:p w:rsidR="002003FD" w:rsidRPr="00D90382" w:rsidRDefault="002003FD" w:rsidP="00163882">
            <w:pPr>
              <w:jc w:val="center"/>
              <w:rPr>
                <w:rFonts w:ascii="Calibri" w:hAnsi="Calibri"/>
                <w:sz w:val="18"/>
                <w:szCs w:val="18"/>
              </w:rPr>
            </w:pPr>
          </w:p>
        </w:tc>
        <w:tc>
          <w:tcPr>
            <w:tcW w:w="1275" w:type="dxa"/>
            <w:noWrap/>
            <w:vAlign w:val="center"/>
          </w:tcPr>
          <w:p w:rsidR="002003FD" w:rsidRPr="00D90382" w:rsidRDefault="002003FD" w:rsidP="00163882">
            <w:pPr>
              <w:jc w:val="center"/>
              <w:rPr>
                <w:rFonts w:ascii="Calibri" w:hAnsi="Calibri"/>
                <w:sz w:val="18"/>
                <w:szCs w:val="18"/>
              </w:rPr>
            </w:pPr>
          </w:p>
        </w:tc>
      </w:tr>
      <w:tr w:rsidR="002003FD" w:rsidRPr="00D90382">
        <w:trPr>
          <w:cnfStyle w:val="000000010000"/>
          <w:trHeight w:val="270"/>
        </w:trPr>
        <w:tc>
          <w:tcPr>
            <w:tcW w:w="236" w:type="dxa"/>
            <w:noWrap/>
            <w:vAlign w:val="center"/>
          </w:tcPr>
          <w:p w:rsidR="002003FD" w:rsidRPr="00D90382" w:rsidRDefault="002003FD" w:rsidP="00D90382">
            <w:pPr>
              <w:rPr>
                <w:rFonts w:ascii="Calibri" w:hAnsi="Calibri" w:cs="Arial"/>
                <w:b/>
                <w:bCs/>
                <w:sz w:val="18"/>
                <w:szCs w:val="18"/>
              </w:rPr>
            </w:pPr>
          </w:p>
        </w:tc>
        <w:tc>
          <w:tcPr>
            <w:tcW w:w="1148" w:type="dxa"/>
            <w:noWrap/>
            <w:vAlign w:val="center"/>
          </w:tcPr>
          <w:p w:rsidR="002003FD" w:rsidRPr="00D90382" w:rsidRDefault="002003FD" w:rsidP="00D90382">
            <w:pPr>
              <w:rPr>
                <w:rFonts w:ascii="Calibri" w:hAnsi="Calibri"/>
                <w:sz w:val="18"/>
                <w:szCs w:val="18"/>
              </w:rPr>
            </w:pPr>
            <w:r w:rsidRPr="00D90382">
              <w:rPr>
                <w:rFonts w:ascii="Calibri" w:hAnsi="Calibri"/>
                <w:sz w:val="18"/>
                <w:szCs w:val="18"/>
              </w:rPr>
              <w:t>≤ 3,5 t</w:t>
            </w:r>
          </w:p>
        </w:tc>
        <w:tc>
          <w:tcPr>
            <w:tcW w:w="1134" w:type="dxa"/>
            <w:noWrap/>
            <w:vAlign w:val="center"/>
          </w:tcPr>
          <w:p w:rsidR="002003FD" w:rsidRPr="00D90382" w:rsidRDefault="002003FD" w:rsidP="007754EA">
            <w:pPr>
              <w:jc w:val="center"/>
              <w:rPr>
                <w:rFonts w:ascii="Calibri" w:hAnsi="Calibri" w:cs="Tahoma"/>
                <w:sz w:val="18"/>
                <w:szCs w:val="18"/>
              </w:rPr>
            </w:pPr>
            <w:r w:rsidRPr="00D90382">
              <w:rPr>
                <w:rFonts w:ascii="Calibri" w:hAnsi="Calibri" w:cs="Tahoma"/>
                <w:sz w:val="18"/>
                <w:szCs w:val="18"/>
              </w:rPr>
              <w:t>6</w:t>
            </w:r>
            <w:r w:rsidR="007754EA">
              <w:rPr>
                <w:rFonts w:ascii="Calibri" w:hAnsi="Calibri" w:cs="Tahoma"/>
                <w:sz w:val="18"/>
                <w:szCs w:val="18"/>
              </w:rPr>
              <w:t>2</w:t>
            </w:r>
            <w:r w:rsidRPr="00D90382">
              <w:rPr>
                <w:rFonts w:ascii="Calibri" w:hAnsi="Calibri" w:cs="Tahoma"/>
                <w:sz w:val="18"/>
                <w:szCs w:val="18"/>
              </w:rPr>
              <w:t xml:space="preserve"> %</w:t>
            </w:r>
          </w:p>
        </w:tc>
        <w:tc>
          <w:tcPr>
            <w:tcW w:w="1276" w:type="dxa"/>
            <w:noWrap/>
            <w:vAlign w:val="center"/>
          </w:tcPr>
          <w:p w:rsidR="002003FD" w:rsidRPr="00D90382" w:rsidRDefault="002003FD" w:rsidP="007754EA">
            <w:pPr>
              <w:jc w:val="center"/>
              <w:rPr>
                <w:rFonts w:ascii="Calibri" w:hAnsi="Calibri" w:cs="Tahoma"/>
                <w:sz w:val="18"/>
                <w:szCs w:val="18"/>
              </w:rPr>
            </w:pPr>
            <w:r w:rsidRPr="00D90382">
              <w:rPr>
                <w:rFonts w:ascii="Calibri" w:hAnsi="Calibri" w:cs="Tahoma"/>
                <w:sz w:val="18"/>
                <w:szCs w:val="18"/>
              </w:rPr>
              <w:t>2</w:t>
            </w:r>
            <w:r w:rsidR="007754EA">
              <w:rPr>
                <w:rFonts w:ascii="Calibri" w:hAnsi="Calibri" w:cs="Tahoma"/>
                <w:sz w:val="18"/>
                <w:szCs w:val="18"/>
              </w:rPr>
              <w:t>4</w:t>
            </w:r>
            <w:r w:rsidRPr="00D90382">
              <w:rPr>
                <w:rFonts w:ascii="Calibri" w:hAnsi="Calibri" w:cs="Tahoma"/>
                <w:sz w:val="18"/>
                <w:szCs w:val="18"/>
              </w:rPr>
              <w:t xml:space="preserve"> %</w:t>
            </w:r>
          </w:p>
        </w:tc>
        <w:tc>
          <w:tcPr>
            <w:tcW w:w="851" w:type="dxa"/>
            <w:noWrap/>
            <w:vAlign w:val="center"/>
          </w:tcPr>
          <w:p w:rsidR="002003FD" w:rsidRPr="00D90382" w:rsidRDefault="002003FD" w:rsidP="00163882">
            <w:pPr>
              <w:jc w:val="center"/>
              <w:rPr>
                <w:rFonts w:ascii="Calibri" w:hAnsi="Calibri" w:cs="Tahoma"/>
                <w:sz w:val="18"/>
                <w:szCs w:val="18"/>
              </w:rPr>
            </w:pPr>
            <w:r w:rsidRPr="00D90382">
              <w:rPr>
                <w:rFonts w:ascii="Calibri" w:hAnsi="Calibri" w:cs="Tahoma"/>
                <w:sz w:val="18"/>
                <w:szCs w:val="18"/>
              </w:rPr>
              <w:t>1,5 %</w:t>
            </w:r>
          </w:p>
        </w:tc>
        <w:tc>
          <w:tcPr>
            <w:tcW w:w="1043" w:type="dxa"/>
            <w:noWrap/>
            <w:vAlign w:val="center"/>
          </w:tcPr>
          <w:p w:rsidR="002003FD" w:rsidRPr="00D90382" w:rsidRDefault="002003FD" w:rsidP="00163882">
            <w:pPr>
              <w:jc w:val="center"/>
              <w:rPr>
                <w:rFonts w:ascii="Calibri" w:hAnsi="Calibri" w:cs="Tahoma"/>
                <w:sz w:val="18"/>
                <w:szCs w:val="18"/>
              </w:rPr>
            </w:pPr>
            <w:r w:rsidRPr="00D90382">
              <w:rPr>
                <w:rFonts w:ascii="Calibri" w:hAnsi="Calibri" w:cs="Tahoma"/>
                <w:sz w:val="18"/>
                <w:szCs w:val="18"/>
              </w:rPr>
              <w:t>13 %</w:t>
            </w:r>
          </w:p>
        </w:tc>
        <w:tc>
          <w:tcPr>
            <w:tcW w:w="1080" w:type="dxa"/>
            <w:noWrap/>
            <w:vAlign w:val="center"/>
          </w:tcPr>
          <w:p w:rsidR="002003FD" w:rsidRPr="00D90382" w:rsidRDefault="002003FD" w:rsidP="007754EA">
            <w:pPr>
              <w:jc w:val="center"/>
              <w:rPr>
                <w:rFonts w:ascii="Calibri" w:hAnsi="Calibri" w:cs="Tahoma"/>
                <w:sz w:val="18"/>
                <w:szCs w:val="18"/>
              </w:rPr>
            </w:pPr>
            <w:r w:rsidRPr="00D90382">
              <w:rPr>
                <w:rFonts w:ascii="Calibri" w:hAnsi="Calibri" w:cs="Tahoma"/>
                <w:sz w:val="18"/>
                <w:szCs w:val="18"/>
              </w:rPr>
              <w:t xml:space="preserve">3 </w:t>
            </w:r>
            <w:r w:rsidR="007754EA">
              <w:rPr>
                <w:rFonts w:ascii="Calibri" w:hAnsi="Calibri" w:cs="Tahoma"/>
                <w:sz w:val="18"/>
                <w:szCs w:val="18"/>
              </w:rPr>
              <w:t>495</w:t>
            </w:r>
          </w:p>
        </w:tc>
        <w:tc>
          <w:tcPr>
            <w:tcW w:w="1278" w:type="dxa"/>
            <w:noWrap/>
            <w:vAlign w:val="center"/>
          </w:tcPr>
          <w:p w:rsidR="002003FD" w:rsidRPr="00D90382" w:rsidRDefault="007754EA" w:rsidP="00163882">
            <w:pPr>
              <w:jc w:val="center"/>
              <w:rPr>
                <w:rFonts w:ascii="Calibri" w:hAnsi="Calibri" w:cs="Tahoma"/>
                <w:bCs/>
                <w:sz w:val="18"/>
                <w:szCs w:val="18"/>
              </w:rPr>
            </w:pPr>
            <w:r>
              <w:rPr>
                <w:rFonts w:ascii="Calibri" w:hAnsi="Calibri" w:cs="Tahoma"/>
                <w:bCs/>
                <w:sz w:val="18"/>
                <w:szCs w:val="18"/>
              </w:rPr>
              <w:t>239 711</w:t>
            </w:r>
          </w:p>
        </w:tc>
        <w:tc>
          <w:tcPr>
            <w:tcW w:w="1275" w:type="dxa"/>
            <w:noWrap/>
            <w:vAlign w:val="center"/>
          </w:tcPr>
          <w:p w:rsidR="002003FD" w:rsidRPr="00D90382" w:rsidRDefault="002003FD" w:rsidP="00163882">
            <w:pPr>
              <w:jc w:val="center"/>
              <w:rPr>
                <w:rFonts w:ascii="Calibri" w:hAnsi="Calibri"/>
                <w:sz w:val="18"/>
                <w:szCs w:val="18"/>
              </w:rPr>
            </w:pPr>
            <w:r w:rsidRPr="00D90382">
              <w:rPr>
                <w:rFonts w:ascii="Calibri" w:hAnsi="Calibri"/>
                <w:sz w:val="18"/>
                <w:szCs w:val="18"/>
              </w:rPr>
              <w:t>9 %</w:t>
            </w:r>
          </w:p>
        </w:tc>
      </w:tr>
      <w:tr w:rsidR="002003FD" w:rsidRPr="00D90382">
        <w:trPr>
          <w:cnfStyle w:val="000000100000"/>
          <w:trHeight w:val="270"/>
        </w:trPr>
        <w:tc>
          <w:tcPr>
            <w:tcW w:w="236" w:type="dxa"/>
            <w:noWrap/>
            <w:vAlign w:val="center"/>
          </w:tcPr>
          <w:p w:rsidR="002003FD" w:rsidRPr="00D90382" w:rsidRDefault="002003FD" w:rsidP="00D90382">
            <w:pPr>
              <w:rPr>
                <w:rFonts w:ascii="Calibri" w:hAnsi="Calibri" w:cs="Arial"/>
                <w:b/>
                <w:bCs/>
                <w:sz w:val="18"/>
                <w:szCs w:val="18"/>
              </w:rPr>
            </w:pPr>
          </w:p>
        </w:tc>
        <w:tc>
          <w:tcPr>
            <w:tcW w:w="1148" w:type="dxa"/>
            <w:noWrap/>
            <w:vAlign w:val="center"/>
          </w:tcPr>
          <w:p w:rsidR="002003FD" w:rsidRPr="00D90382" w:rsidRDefault="002003FD" w:rsidP="00D90382">
            <w:pPr>
              <w:rPr>
                <w:rFonts w:ascii="Calibri" w:hAnsi="Calibri"/>
                <w:sz w:val="18"/>
                <w:szCs w:val="18"/>
              </w:rPr>
            </w:pPr>
            <w:r w:rsidRPr="00D90382">
              <w:rPr>
                <w:rFonts w:ascii="Calibri" w:hAnsi="Calibri"/>
                <w:sz w:val="18"/>
                <w:szCs w:val="18"/>
              </w:rPr>
              <w:t>&gt; 3,5 t</w:t>
            </w:r>
          </w:p>
        </w:tc>
        <w:tc>
          <w:tcPr>
            <w:tcW w:w="1134" w:type="dxa"/>
            <w:noWrap/>
            <w:vAlign w:val="center"/>
          </w:tcPr>
          <w:p w:rsidR="002003FD" w:rsidRPr="00D90382" w:rsidRDefault="007E6EE0" w:rsidP="00163882">
            <w:pPr>
              <w:jc w:val="center"/>
              <w:rPr>
                <w:rFonts w:ascii="Calibri" w:hAnsi="Calibri" w:cs="Tahoma"/>
                <w:sz w:val="18"/>
                <w:szCs w:val="18"/>
              </w:rPr>
            </w:pPr>
            <w:r>
              <w:rPr>
                <w:rFonts w:ascii="Calibri" w:hAnsi="Calibri" w:cs="Tahoma"/>
                <w:sz w:val="18"/>
                <w:szCs w:val="18"/>
              </w:rPr>
              <w:t>38</w:t>
            </w:r>
            <w:r w:rsidR="002003FD" w:rsidRPr="00D90382">
              <w:rPr>
                <w:rFonts w:ascii="Calibri" w:hAnsi="Calibri" w:cs="Tahoma"/>
                <w:sz w:val="18"/>
                <w:szCs w:val="18"/>
              </w:rPr>
              <w:t xml:space="preserve"> %</w:t>
            </w:r>
          </w:p>
        </w:tc>
        <w:tc>
          <w:tcPr>
            <w:tcW w:w="1276" w:type="dxa"/>
            <w:noWrap/>
            <w:vAlign w:val="center"/>
          </w:tcPr>
          <w:p w:rsidR="002003FD" w:rsidRPr="00D90382" w:rsidRDefault="007E6EE0" w:rsidP="00163882">
            <w:pPr>
              <w:jc w:val="center"/>
              <w:rPr>
                <w:rFonts w:ascii="Calibri" w:hAnsi="Calibri" w:cs="Tahoma"/>
                <w:sz w:val="18"/>
                <w:szCs w:val="18"/>
              </w:rPr>
            </w:pPr>
            <w:r>
              <w:rPr>
                <w:rFonts w:ascii="Calibri" w:hAnsi="Calibri" w:cs="Tahoma"/>
                <w:sz w:val="18"/>
                <w:szCs w:val="18"/>
              </w:rPr>
              <w:t>49</w:t>
            </w:r>
            <w:r w:rsidR="002003FD" w:rsidRPr="00D90382">
              <w:rPr>
                <w:rFonts w:ascii="Calibri" w:hAnsi="Calibri" w:cs="Tahoma"/>
                <w:sz w:val="18"/>
                <w:szCs w:val="18"/>
              </w:rPr>
              <w:t xml:space="preserve"> %</w:t>
            </w:r>
          </w:p>
        </w:tc>
        <w:tc>
          <w:tcPr>
            <w:tcW w:w="851" w:type="dxa"/>
            <w:noWrap/>
            <w:vAlign w:val="center"/>
          </w:tcPr>
          <w:p w:rsidR="002003FD" w:rsidRPr="00D90382" w:rsidRDefault="007E6EE0" w:rsidP="00163882">
            <w:pPr>
              <w:jc w:val="center"/>
              <w:rPr>
                <w:rFonts w:ascii="Calibri" w:hAnsi="Calibri" w:cs="Tahoma"/>
                <w:sz w:val="18"/>
                <w:szCs w:val="18"/>
              </w:rPr>
            </w:pPr>
            <w:r>
              <w:rPr>
                <w:rFonts w:ascii="Calibri" w:hAnsi="Calibri" w:cs="Tahoma"/>
                <w:sz w:val="18"/>
                <w:szCs w:val="18"/>
              </w:rPr>
              <w:t>4,6</w:t>
            </w:r>
            <w:r w:rsidR="002003FD" w:rsidRPr="00D90382">
              <w:rPr>
                <w:rFonts w:ascii="Calibri" w:hAnsi="Calibri" w:cs="Tahoma"/>
                <w:sz w:val="18"/>
                <w:szCs w:val="18"/>
              </w:rPr>
              <w:t xml:space="preserve"> %</w:t>
            </w:r>
          </w:p>
        </w:tc>
        <w:tc>
          <w:tcPr>
            <w:tcW w:w="1043" w:type="dxa"/>
            <w:noWrap/>
            <w:vAlign w:val="center"/>
          </w:tcPr>
          <w:p w:rsidR="002003FD" w:rsidRPr="00D90382" w:rsidRDefault="002003FD" w:rsidP="00163882">
            <w:pPr>
              <w:jc w:val="center"/>
              <w:rPr>
                <w:rFonts w:ascii="Calibri" w:hAnsi="Calibri" w:cs="Tahoma"/>
                <w:sz w:val="18"/>
                <w:szCs w:val="18"/>
              </w:rPr>
            </w:pPr>
            <w:r w:rsidRPr="00D90382">
              <w:rPr>
                <w:rFonts w:ascii="Calibri" w:hAnsi="Calibri" w:cs="Tahoma"/>
                <w:sz w:val="18"/>
                <w:szCs w:val="18"/>
              </w:rPr>
              <w:t>9 %</w:t>
            </w:r>
          </w:p>
        </w:tc>
        <w:tc>
          <w:tcPr>
            <w:tcW w:w="1080" w:type="dxa"/>
            <w:noWrap/>
            <w:vAlign w:val="center"/>
          </w:tcPr>
          <w:p w:rsidR="002003FD" w:rsidRPr="00D90382" w:rsidRDefault="007E6EE0" w:rsidP="00163882">
            <w:pPr>
              <w:jc w:val="center"/>
              <w:rPr>
                <w:rFonts w:ascii="Calibri" w:hAnsi="Calibri" w:cs="Tahoma"/>
                <w:sz w:val="18"/>
                <w:szCs w:val="18"/>
              </w:rPr>
            </w:pPr>
            <w:r>
              <w:rPr>
                <w:rFonts w:ascii="Calibri" w:hAnsi="Calibri" w:cs="Tahoma"/>
                <w:sz w:val="18"/>
                <w:szCs w:val="18"/>
              </w:rPr>
              <w:t>1 991</w:t>
            </w:r>
          </w:p>
        </w:tc>
        <w:tc>
          <w:tcPr>
            <w:tcW w:w="1278" w:type="dxa"/>
            <w:noWrap/>
            <w:vAlign w:val="center"/>
          </w:tcPr>
          <w:p w:rsidR="002003FD" w:rsidRPr="00D90382" w:rsidRDefault="007E6EE0" w:rsidP="00163882">
            <w:pPr>
              <w:jc w:val="center"/>
              <w:rPr>
                <w:rFonts w:ascii="Calibri" w:hAnsi="Calibri" w:cs="Tahoma"/>
                <w:bCs/>
                <w:sz w:val="18"/>
                <w:szCs w:val="18"/>
              </w:rPr>
            </w:pPr>
            <w:r>
              <w:rPr>
                <w:rFonts w:ascii="Calibri" w:hAnsi="Calibri" w:cs="Tahoma"/>
                <w:bCs/>
                <w:sz w:val="18"/>
                <w:szCs w:val="18"/>
              </w:rPr>
              <w:t>43 376</w:t>
            </w:r>
          </w:p>
        </w:tc>
        <w:tc>
          <w:tcPr>
            <w:tcW w:w="1275" w:type="dxa"/>
            <w:noWrap/>
            <w:vAlign w:val="center"/>
          </w:tcPr>
          <w:p w:rsidR="002003FD" w:rsidRPr="00D90382" w:rsidRDefault="007257E0" w:rsidP="00163882">
            <w:pPr>
              <w:jc w:val="center"/>
              <w:rPr>
                <w:rFonts w:ascii="Calibri" w:hAnsi="Calibri"/>
                <w:sz w:val="18"/>
                <w:szCs w:val="18"/>
              </w:rPr>
            </w:pPr>
            <w:r>
              <w:rPr>
                <w:rFonts w:ascii="Calibri" w:hAnsi="Calibri"/>
                <w:sz w:val="18"/>
                <w:szCs w:val="18"/>
              </w:rPr>
              <w:t>25</w:t>
            </w:r>
            <w:r w:rsidR="002003FD" w:rsidRPr="00D90382">
              <w:rPr>
                <w:rFonts w:ascii="Calibri" w:hAnsi="Calibri"/>
                <w:sz w:val="18"/>
                <w:szCs w:val="18"/>
              </w:rPr>
              <w:t xml:space="preserve"> %</w:t>
            </w:r>
          </w:p>
        </w:tc>
      </w:tr>
      <w:tr w:rsidR="002003FD" w:rsidRPr="00D90382">
        <w:trPr>
          <w:cnfStyle w:val="000000010000"/>
          <w:trHeight w:val="270"/>
        </w:trPr>
        <w:tc>
          <w:tcPr>
            <w:tcW w:w="1384" w:type="dxa"/>
            <w:gridSpan w:val="2"/>
            <w:noWrap/>
            <w:vAlign w:val="center"/>
          </w:tcPr>
          <w:p w:rsidR="002003FD" w:rsidRPr="00D90382" w:rsidRDefault="002003FD" w:rsidP="00D90382">
            <w:pPr>
              <w:rPr>
                <w:rFonts w:ascii="Calibri" w:hAnsi="Calibri"/>
                <w:b/>
                <w:bCs/>
                <w:sz w:val="18"/>
                <w:szCs w:val="18"/>
              </w:rPr>
            </w:pPr>
            <w:r w:rsidRPr="00D90382">
              <w:rPr>
                <w:rFonts w:ascii="Calibri" w:hAnsi="Calibri"/>
                <w:b/>
                <w:bCs/>
                <w:sz w:val="18"/>
                <w:szCs w:val="18"/>
              </w:rPr>
              <w:t>M</w:t>
            </w:r>
            <w:r w:rsidR="00022A1B">
              <w:rPr>
                <w:rFonts w:ascii="Calibri" w:hAnsi="Calibri"/>
                <w:b/>
                <w:bCs/>
                <w:sz w:val="18"/>
                <w:szCs w:val="18"/>
              </w:rPr>
              <w:t>C</w:t>
            </w:r>
          </w:p>
        </w:tc>
        <w:tc>
          <w:tcPr>
            <w:tcW w:w="1134" w:type="dxa"/>
            <w:noWrap/>
            <w:vAlign w:val="center"/>
          </w:tcPr>
          <w:p w:rsidR="002003FD" w:rsidRPr="00D90382" w:rsidRDefault="002003FD" w:rsidP="00163882">
            <w:pPr>
              <w:jc w:val="center"/>
              <w:rPr>
                <w:rFonts w:ascii="Calibri" w:hAnsi="Calibri"/>
                <w:sz w:val="18"/>
                <w:szCs w:val="18"/>
              </w:rPr>
            </w:pPr>
            <w:r w:rsidRPr="00D90382">
              <w:rPr>
                <w:rFonts w:ascii="Calibri" w:hAnsi="Calibri"/>
                <w:sz w:val="18"/>
                <w:szCs w:val="18"/>
              </w:rPr>
              <w:t>78 %</w:t>
            </w:r>
          </w:p>
        </w:tc>
        <w:tc>
          <w:tcPr>
            <w:tcW w:w="1276" w:type="dxa"/>
            <w:noWrap/>
            <w:vAlign w:val="center"/>
          </w:tcPr>
          <w:p w:rsidR="002003FD" w:rsidRPr="00D90382" w:rsidRDefault="004F4417" w:rsidP="00163882">
            <w:pPr>
              <w:jc w:val="center"/>
              <w:rPr>
                <w:rFonts w:ascii="Calibri" w:hAnsi="Calibri"/>
                <w:sz w:val="18"/>
                <w:szCs w:val="18"/>
              </w:rPr>
            </w:pPr>
            <w:r>
              <w:rPr>
                <w:rFonts w:ascii="Calibri" w:hAnsi="Calibri"/>
                <w:sz w:val="18"/>
                <w:szCs w:val="18"/>
              </w:rPr>
              <w:t>10</w:t>
            </w:r>
            <w:r w:rsidR="002003FD" w:rsidRPr="00D90382">
              <w:rPr>
                <w:rFonts w:ascii="Calibri" w:hAnsi="Calibri"/>
                <w:sz w:val="18"/>
                <w:szCs w:val="18"/>
              </w:rPr>
              <w:t xml:space="preserve"> %</w:t>
            </w:r>
          </w:p>
        </w:tc>
        <w:tc>
          <w:tcPr>
            <w:tcW w:w="851" w:type="dxa"/>
            <w:noWrap/>
            <w:vAlign w:val="center"/>
          </w:tcPr>
          <w:p w:rsidR="002003FD" w:rsidRPr="00D90382" w:rsidRDefault="002003FD" w:rsidP="00163882">
            <w:pPr>
              <w:jc w:val="center"/>
              <w:rPr>
                <w:rFonts w:ascii="Calibri" w:hAnsi="Calibri"/>
                <w:sz w:val="18"/>
                <w:szCs w:val="18"/>
              </w:rPr>
            </w:pPr>
            <w:r w:rsidRPr="00D90382">
              <w:rPr>
                <w:rFonts w:ascii="Calibri" w:hAnsi="Calibri"/>
                <w:sz w:val="18"/>
                <w:szCs w:val="18"/>
              </w:rPr>
              <w:t>0,0 %</w:t>
            </w:r>
          </w:p>
        </w:tc>
        <w:tc>
          <w:tcPr>
            <w:tcW w:w="1043" w:type="dxa"/>
            <w:noWrap/>
            <w:vAlign w:val="center"/>
          </w:tcPr>
          <w:p w:rsidR="002003FD" w:rsidRPr="00D90382" w:rsidRDefault="00873991" w:rsidP="004F4417">
            <w:pPr>
              <w:jc w:val="center"/>
              <w:rPr>
                <w:rFonts w:ascii="Calibri" w:hAnsi="Calibri"/>
                <w:sz w:val="18"/>
                <w:szCs w:val="18"/>
              </w:rPr>
            </w:pPr>
            <w:r>
              <w:rPr>
                <w:rFonts w:ascii="Calibri" w:hAnsi="Calibri"/>
                <w:sz w:val="18"/>
                <w:szCs w:val="18"/>
              </w:rPr>
              <w:t>1</w:t>
            </w:r>
            <w:r w:rsidR="004F4417">
              <w:rPr>
                <w:rFonts w:ascii="Calibri" w:hAnsi="Calibri"/>
                <w:sz w:val="18"/>
                <w:szCs w:val="18"/>
              </w:rPr>
              <w:t>3</w:t>
            </w:r>
            <w:r w:rsidR="002003FD" w:rsidRPr="00D90382">
              <w:rPr>
                <w:rFonts w:ascii="Calibri" w:hAnsi="Calibri"/>
                <w:sz w:val="18"/>
                <w:szCs w:val="18"/>
              </w:rPr>
              <w:t xml:space="preserve"> %</w:t>
            </w:r>
          </w:p>
        </w:tc>
        <w:tc>
          <w:tcPr>
            <w:tcW w:w="1080" w:type="dxa"/>
            <w:noWrap/>
            <w:vAlign w:val="center"/>
          </w:tcPr>
          <w:p w:rsidR="002003FD" w:rsidRPr="00D90382" w:rsidRDefault="002003FD" w:rsidP="00163882">
            <w:pPr>
              <w:jc w:val="center"/>
              <w:rPr>
                <w:rFonts w:ascii="Calibri" w:hAnsi="Calibri"/>
                <w:sz w:val="18"/>
                <w:szCs w:val="18"/>
              </w:rPr>
            </w:pPr>
            <w:r w:rsidRPr="00D90382">
              <w:rPr>
                <w:rFonts w:ascii="Calibri" w:hAnsi="Calibri"/>
                <w:sz w:val="18"/>
                <w:szCs w:val="18"/>
              </w:rPr>
              <w:t>1</w:t>
            </w:r>
            <w:r w:rsidR="00873991">
              <w:rPr>
                <w:rFonts w:ascii="Calibri" w:hAnsi="Calibri"/>
                <w:sz w:val="18"/>
                <w:szCs w:val="18"/>
              </w:rPr>
              <w:t>4</w:t>
            </w:r>
          </w:p>
        </w:tc>
        <w:tc>
          <w:tcPr>
            <w:tcW w:w="1278" w:type="dxa"/>
            <w:noWrap/>
            <w:vAlign w:val="center"/>
          </w:tcPr>
          <w:p w:rsidR="002003FD" w:rsidRPr="00D90382" w:rsidRDefault="002003FD" w:rsidP="00873991">
            <w:pPr>
              <w:jc w:val="center"/>
              <w:rPr>
                <w:rFonts w:ascii="Calibri" w:hAnsi="Calibri"/>
                <w:sz w:val="18"/>
                <w:szCs w:val="18"/>
              </w:rPr>
            </w:pPr>
            <w:r w:rsidRPr="00D90382">
              <w:rPr>
                <w:rFonts w:ascii="Calibri" w:hAnsi="Calibri"/>
                <w:sz w:val="18"/>
                <w:szCs w:val="18"/>
              </w:rPr>
              <w:t xml:space="preserve">113 </w:t>
            </w:r>
            <w:r w:rsidR="00873991">
              <w:rPr>
                <w:rFonts w:ascii="Calibri" w:hAnsi="Calibri"/>
                <w:sz w:val="18"/>
                <w:szCs w:val="18"/>
              </w:rPr>
              <w:t>659</w:t>
            </w:r>
          </w:p>
        </w:tc>
        <w:tc>
          <w:tcPr>
            <w:tcW w:w="1275" w:type="dxa"/>
            <w:noWrap/>
            <w:vAlign w:val="center"/>
          </w:tcPr>
          <w:p w:rsidR="002003FD" w:rsidRPr="00D90382" w:rsidRDefault="007257E0" w:rsidP="00163882">
            <w:pPr>
              <w:jc w:val="center"/>
              <w:rPr>
                <w:rFonts w:ascii="Calibri" w:hAnsi="Calibri"/>
                <w:sz w:val="18"/>
                <w:szCs w:val="18"/>
              </w:rPr>
            </w:pPr>
            <w:r>
              <w:rPr>
                <w:rFonts w:ascii="Calibri" w:hAnsi="Calibri"/>
                <w:sz w:val="18"/>
                <w:szCs w:val="18"/>
              </w:rPr>
              <w:t>2</w:t>
            </w:r>
            <w:r w:rsidR="002003FD" w:rsidRPr="00D90382">
              <w:rPr>
                <w:rFonts w:ascii="Calibri" w:hAnsi="Calibri"/>
                <w:sz w:val="18"/>
                <w:szCs w:val="18"/>
              </w:rPr>
              <w:t xml:space="preserve"> %</w:t>
            </w:r>
          </w:p>
        </w:tc>
      </w:tr>
      <w:tr w:rsidR="002003FD" w:rsidRPr="00D90382">
        <w:trPr>
          <w:cnfStyle w:val="000000100000"/>
          <w:trHeight w:val="270"/>
        </w:trPr>
        <w:tc>
          <w:tcPr>
            <w:tcW w:w="1384" w:type="dxa"/>
            <w:gridSpan w:val="2"/>
            <w:noWrap/>
            <w:vAlign w:val="center"/>
          </w:tcPr>
          <w:p w:rsidR="002003FD" w:rsidRPr="00D90382" w:rsidRDefault="002003FD" w:rsidP="00D90382">
            <w:pPr>
              <w:rPr>
                <w:rFonts w:ascii="Calibri" w:hAnsi="Calibri"/>
                <w:b/>
                <w:bCs/>
                <w:sz w:val="18"/>
                <w:szCs w:val="18"/>
              </w:rPr>
            </w:pPr>
            <w:r w:rsidRPr="00D90382">
              <w:rPr>
                <w:rFonts w:ascii="Calibri" w:hAnsi="Calibri"/>
                <w:b/>
                <w:bCs/>
                <w:sz w:val="18"/>
                <w:szCs w:val="18"/>
              </w:rPr>
              <w:t>Husvagn</w:t>
            </w:r>
          </w:p>
        </w:tc>
        <w:tc>
          <w:tcPr>
            <w:tcW w:w="1134" w:type="dxa"/>
            <w:noWrap/>
            <w:vAlign w:val="center"/>
          </w:tcPr>
          <w:p w:rsidR="002003FD" w:rsidRPr="00D90382" w:rsidRDefault="007943BE" w:rsidP="00163882">
            <w:pPr>
              <w:jc w:val="center"/>
              <w:rPr>
                <w:rFonts w:ascii="Calibri" w:hAnsi="Calibri"/>
                <w:sz w:val="18"/>
                <w:szCs w:val="18"/>
              </w:rPr>
            </w:pPr>
            <w:r>
              <w:rPr>
                <w:rFonts w:ascii="Calibri" w:hAnsi="Calibri"/>
                <w:sz w:val="18"/>
                <w:szCs w:val="18"/>
              </w:rPr>
              <w:t>72</w:t>
            </w:r>
            <w:r w:rsidR="002003FD" w:rsidRPr="00D90382">
              <w:rPr>
                <w:rFonts w:ascii="Calibri" w:hAnsi="Calibri"/>
                <w:sz w:val="18"/>
                <w:szCs w:val="18"/>
              </w:rPr>
              <w:t xml:space="preserve"> %</w:t>
            </w:r>
          </w:p>
        </w:tc>
        <w:tc>
          <w:tcPr>
            <w:tcW w:w="1276" w:type="dxa"/>
            <w:noWrap/>
            <w:vAlign w:val="center"/>
          </w:tcPr>
          <w:p w:rsidR="002003FD" w:rsidRPr="00D90382" w:rsidRDefault="007A5135" w:rsidP="00163882">
            <w:pPr>
              <w:jc w:val="center"/>
              <w:rPr>
                <w:rFonts w:ascii="Calibri" w:hAnsi="Calibri"/>
                <w:sz w:val="18"/>
                <w:szCs w:val="18"/>
              </w:rPr>
            </w:pPr>
            <w:r>
              <w:rPr>
                <w:rFonts w:ascii="Calibri" w:hAnsi="Calibri"/>
                <w:sz w:val="18"/>
                <w:szCs w:val="18"/>
              </w:rPr>
              <w:t>1</w:t>
            </w:r>
            <w:r w:rsidR="007943BE">
              <w:rPr>
                <w:rFonts w:ascii="Calibri" w:hAnsi="Calibri"/>
                <w:sz w:val="18"/>
                <w:szCs w:val="18"/>
              </w:rPr>
              <w:t>9</w:t>
            </w:r>
            <w:r w:rsidR="002003FD" w:rsidRPr="00D90382">
              <w:rPr>
                <w:rFonts w:ascii="Calibri" w:hAnsi="Calibri"/>
                <w:sz w:val="18"/>
                <w:szCs w:val="18"/>
              </w:rPr>
              <w:t xml:space="preserve"> %</w:t>
            </w:r>
          </w:p>
        </w:tc>
        <w:tc>
          <w:tcPr>
            <w:tcW w:w="851" w:type="dxa"/>
            <w:noWrap/>
            <w:vAlign w:val="center"/>
          </w:tcPr>
          <w:p w:rsidR="002003FD" w:rsidRPr="00D90382" w:rsidRDefault="002003FD" w:rsidP="00163882">
            <w:pPr>
              <w:jc w:val="center"/>
              <w:rPr>
                <w:rFonts w:ascii="Calibri" w:hAnsi="Calibri"/>
                <w:sz w:val="18"/>
                <w:szCs w:val="18"/>
              </w:rPr>
            </w:pPr>
            <w:r w:rsidRPr="00D90382">
              <w:rPr>
                <w:rFonts w:ascii="Calibri" w:hAnsi="Calibri"/>
                <w:sz w:val="18"/>
                <w:szCs w:val="18"/>
              </w:rPr>
              <w:t>0,3 %</w:t>
            </w:r>
          </w:p>
        </w:tc>
        <w:tc>
          <w:tcPr>
            <w:tcW w:w="1043" w:type="dxa"/>
            <w:noWrap/>
            <w:vAlign w:val="center"/>
          </w:tcPr>
          <w:p w:rsidR="002003FD" w:rsidRPr="00D90382" w:rsidRDefault="007943BE" w:rsidP="00163882">
            <w:pPr>
              <w:jc w:val="center"/>
              <w:rPr>
                <w:rFonts w:ascii="Calibri" w:hAnsi="Calibri"/>
                <w:sz w:val="18"/>
                <w:szCs w:val="18"/>
              </w:rPr>
            </w:pPr>
            <w:r>
              <w:rPr>
                <w:rFonts w:ascii="Calibri" w:hAnsi="Calibri"/>
                <w:sz w:val="18"/>
                <w:szCs w:val="18"/>
              </w:rPr>
              <w:t>9</w:t>
            </w:r>
            <w:r w:rsidR="002003FD" w:rsidRPr="00D90382">
              <w:rPr>
                <w:rFonts w:ascii="Calibri" w:hAnsi="Calibri"/>
                <w:sz w:val="18"/>
                <w:szCs w:val="18"/>
              </w:rPr>
              <w:t xml:space="preserve"> %</w:t>
            </w:r>
          </w:p>
        </w:tc>
        <w:tc>
          <w:tcPr>
            <w:tcW w:w="1080" w:type="dxa"/>
            <w:noWrap/>
            <w:vAlign w:val="center"/>
          </w:tcPr>
          <w:p w:rsidR="002003FD" w:rsidRPr="00D90382" w:rsidRDefault="007943BE" w:rsidP="00163882">
            <w:pPr>
              <w:jc w:val="center"/>
              <w:rPr>
                <w:rFonts w:ascii="Calibri" w:hAnsi="Calibri"/>
                <w:sz w:val="18"/>
                <w:szCs w:val="18"/>
              </w:rPr>
            </w:pPr>
            <w:r>
              <w:rPr>
                <w:rFonts w:ascii="Calibri" w:hAnsi="Calibri"/>
                <w:sz w:val="18"/>
                <w:szCs w:val="18"/>
              </w:rPr>
              <w:t>219</w:t>
            </w:r>
          </w:p>
        </w:tc>
        <w:tc>
          <w:tcPr>
            <w:tcW w:w="1278" w:type="dxa"/>
            <w:noWrap/>
            <w:vAlign w:val="center"/>
          </w:tcPr>
          <w:p w:rsidR="002003FD" w:rsidRPr="00D90382" w:rsidRDefault="007943BE" w:rsidP="00163882">
            <w:pPr>
              <w:jc w:val="center"/>
              <w:rPr>
                <w:rFonts w:ascii="Calibri" w:hAnsi="Calibri"/>
                <w:sz w:val="18"/>
                <w:szCs w:val="18"/>
              </w:rPr>
            </w:pPr>
            <w:r>
              <w:rPr>
                <w:rFonts w:ascii="Calibri" w:hAnsi="Calibri"/>
                <w:sz w:val="18"/>
                <w:szCs w:val="18"/>
              </w:rPr>
              <w:t>67 978</w:t>
            </w:r>
          </w:p>
        </w:tc>
        <w:tc>
          <w:tcPr>
            <w:tcW w:w="1275" w:type="dxa"/>
            <w:noWrap/>
            <w:vAlign w:val="center"/>
          </w:tcPr>
          <w:p w:rsidR="002003FD" w:rsidRPr="00D90382" w:rsidRDefault="007257E0" w:rsidP="00163882">
            <w:pPr>
              <w:jc w:val="center"/>
              <w:rPr>
                <w:rFonts w:ascii="Calibri" w:hAnsi="Calibri"/>
                <w:sz w:val="18"/>
                <w:szCs w:val="18"/>
              </w:rPr>
            </w:pPr>
            <w:r>
              <w:rPr>
                <w:rFonts w:ascii="Calibri" w:hAnsi="Calibri"/>
                <w:sz w:val="18"/>
                <w:szCs w:val="18"/>
              </w:rPr>
              <w:t>13</w:t>
            </w:r>
            <w:r w:rsidR="002003FD" w:rsidRPr="00D90382">
              <w:rPr>
                <w:rFonts w:ascii="Calibri" w:hAnsi="Calibri"/>
                <w:sz w:val="18"/>
                <w:szCs w:val="18"/>
              </w:rPr>
              <w:t xml:space="preserve"> %</w:t>
            </w:r>
          </w:p>
        </w:tc>
      </w:tr>
      <w:tr w:rsidR="002003FD" w:rsidRPr="00D90382">
        <w:trPr>
          <w:cnfStyle w:val="000000010000"/>
          <w:trHeight w:val="144"/>
        </w:trPr>
        <w:tc>
          <w:tcPr>
            <w:tcW w:w="1384" w:type="dxa"/>
            <w:gridSpan w:val="2"/>
            <w:noWrap/>
            <w:vAlign w:val="center"/>
          </w:tcPr>
          <w:p w:rsidR="002003FD" w:rsidRPr="00D90382" w:rsidRDefault="002003FD" w:rsidP="00D90382">
            <w:pPr>
              <w:rPr>
                <w:rFonts w:ascii="Calibri" w:hAnsi="Calibri"/>
                <w:b/>
                <w:bCs/>
                <w:sz w:val="16"/>
                <w:szCs w:val="16"/>
              </w:rPr>
            </w:pPr>
          </w:p>
        </w:tc>
        <w:tc>
          <w:tcPr>
            <w:tcW w:w="1134" w:type="dxa"/>
            <w:noWrap/>
            <w:vAlign w:val="center"/>
          </w:tcPr>
          <w:p w:rsidR="002003FD" w:rsidRPr="00D90382" w:rsidRDefault="002003FD" w:rsidP="00163882">
            <w:pPr>
              <w:jc w:val="center"/>
              <w:rPr>
                <w:rFonts w:ascii="Calibri" w:hAnsi="Calibri"/>
                <w:b/>
                <w:bCs/>
              </w:rPr>
            </w:pPr>
          </w:p>
        </w:tc>
        <w:tc>
          <w:tcPr>
            <w:tcW w:w="1276" w:type="dxa"/>
            <w:noWrap/>
            <w:vAlign w:val="center"/>
          </w:tcPr>
          <w:p w:rsidR="002003FD" w:rsidRPr="00D90382" w:rsidRDefault="002003FD" w:rsidP="00163882">
            <w:pPr>
              <w:jc w:val="center"/>
              <w:rPr>
                <w:rFonts w:ascii="Calibri" w:hAnsi="Calibri"/>
                <w:b/>
                <w:bCs/>
              </w:rPr>
            </w:pPr>
          </w:p>
        </w:tc>
        <w:tc>
          <w:tcPr>
            <w:tcW w:w="851" w:type="dxa"/>
            <w:noWrap/>
            <w:vAlign w:val="center"/>
          </w:tcPr>
          <w:p w:rsidR="002003FD" w:rsidRPr="00D90382" w:rsidRDefault="002003FD" w:rsidP="00163882">
            <w:pPr>
              <w:jc w:val="center"/>
              <w:rPr>
                <w:rFonts w:ascii="Calibri" w:hAnsi="Calibri"/>
                <w:b/>
                <w:bCs/>
              </w:rPr>
            </w:pPr>
          </w:p>
        </w:tc>
        <w:tc>
          <w:tcPr>
            <w:tcW w:w="1043" w:type="dxa"/>
            <w:noWrap/>
            <w:vAlign w:val="center"/>
          </w:tcPr>
          <w:p w:rsidR="002003FD" w:rsidRPr="00D90382" w:rsidRDefault="002003FD" w:rsidP="00163882">
            <w:pPr>
              <w:jc w:val="center"/>
              <w:rPr>
                <w:rFonts w:ascii="Calibri" w:hAnsi="Calibri"/>
                <w:b/>
                <w:bCs/>
              </w:rPr>
            </w:pPr>
          </w:p>
        </w:tc>
        <w:tc>
          <w:tcPr>
            <w:tcW w:w="1080" w:type="dxa"/>
            <w:noWrap/>
            <w:vAlign w:val="center"/>
          </w:tcPr>
          <w:p w:rsidR="002003FD" w:rsidRPr="00D90382" w:rsidRDefault="002003FD" w:rsidP="00163882">
            <w:pPr>
              <w:jc w:val="center"/>
              <w:rPr>
                <w:rFonts w:ascii="Calibri" w:hAnsi="Calibri"/>
                <w:b/>
                <w:bCs/>
              </w:rPr>
            </w:pPr>
          </w:p>
        </w:tc>
        <w:tc>
          <w:tcPr>
            <w:tcW w:w="1278" w:type="dxa"/>
            <w:noWrap/>
            <w:vAlign w:val="center"/>
          </w:tcPr>
          <w:p w:rsidR="002003FD" w:rsidRPr="00D90382" w:rsidRDefault="002003FD" w:rsidP="00163882">
            <w:pPr>
              <w:jc w:val="center"/>
              <w:rPr>
                <w:rFonts w:ascii="Calibri" w:hAnsi="Calibri"/>
                <w:b/>
                <w:bCs/>
              </w:rPr>
            </w:pPr>
          </w:p>
        </w:tc>
        <w:tc>
          <w:tcPr>
            <w:tcW w:w="1275" w:type="dxa"/>
            <w:noWrap/>
            <w:vAlign w:val="center"/>
          </w:tcPr>
          <w:p w:rsidR="002003FD" w:rsidRPr="00D90382" w:rsidRDefault="002003FD" w:rsidP="00163882">
            <w:pPr>
              <w:jc w:val="center"/>
              <w:rPr>
                <w:rFonts w:ascii="Calibri" w:hAnsi="Calibri"/>
                <w:b/>
                <w:bCs/>
              </w:rPr>
            </w:pPr>
          </w:p>
        </w:tc>
      </w:tr>
      <w:tr w:rsidR="002003FD" w:rsidRPr="00D90382">
        <w:trPr>
          <w:cnfStyle w:val="000000100000"/>
          <w:trHeight w:val="300"/>
        </w:trPr>
        <w:tc>
          <w:tcPr>
            <w:tcW w:w="1384" w:type="dxa"/>
            <w:gridSpan w:val="2"/>
            <w:noWrap/>
            <w:vAlign w:val="center"/>
          </w:tcPr>
          <w:p w:rsidR="002003FD" w:rsidRPr="00D90382" w:rsidRDefault="002003FD" w:rsidP="00D90382">
            <w:pPr>
              <w:rPr>
                <w:rFonts w:ascii="Calibri" w:hAnsi="Calibri"/>
                <w:b/>
                <w:bCs/>
                <w:sz w:val="18"/>
                <w:szCs w:val="18"/>
              </w:rPr>
            </w:pPr>
            <w:r w:rsidRPr="00D90382">
              <w:rPr>
                <w:rFonts w:ascii="Calibri" w:hAnsi="Calibri"/>
                <w:b/>
                <w:bCs/>
                <w:sz w:val="18"/>
                <w:szCs w:val="18"/>
              </w:rPr>
              <w:t>Totalt samtliga Fordonsslag</w:t>
            </w:r>
          </w:p>
        </w:tc>
        <w:tc>
          <w:tcPr>
            <w:tcW w:w="1134" w:type="dxa"/>
            <w:noWrap/>
            <w:vAlign w:val="center"/>
          </w:tcPr>
          <w:p w:rsidR="002003FD" w:rsidRPr="00D90382" w:rsidRDefault="002003FD" w:rsidP="00163882">
            <w:pPr>
              <w:jc w:val="center"/>
              <w:rPr>
                <w:rFonts w:ascii="Calibri" w:hAnsi="Calibri"/>
                <w:b/>
                <w:bCs/>
              </w:rPr>
            </w:pPr>
            <w:r w:rsidRPr="00D90382">
              <w:rPr>
                <w:rFonts w:ascii="Calibri" w:hAnsi="Calibri"/>
                <w:b/>
                <w:bCs/>
              </w:rPr>
              <w:t>53 %</w:t>
            </w:r>
          </w:p>
        </w:tc>
        <w:tc>
          <w:tcPr>
            <w:tcW w:w="1276" w:type="dxa"/>
            <w:noWrap/>
            <w:vAlign w:val="center"/>
          </w:tcPr>
          <w:p w:rsidR="002003FD" w:rsidRPr="00D90382" w:rsidRDefault="002003FD" w:rsidP="00163882">
            <w:pPr>
              <w:jc w:val="center"/>
              <w:rPr>
                <w:rFonts w:ascii="Calibri" w:hAnsi="Calibri"/>
                <w:b/>
                <w:bCs/>
              </w:rPr>
            </w:pPr>
            <w:r w:rsidRPr="00D90382">
              <w:rPr>
                <w:rFonts w:ascii="Calibri" w:hAnsi="Calibri"/>
                <w:b/>
                <w:bCs/>
              </w:rPr>
              <w:t>31 %</w:t>
            </w:r>
          </w:p>
        </w:tc>
        <w:tc>
          <w:tcPr>
            <w:tcW w:w="851" w:type="dxa"/>
            <w:noWrap/>
            <w:vAlign w:val="center"/>
          </w:tcPr>
          <w:p w:rsidR="002003FD" w:rsidRPr="00D90382" w:rsidRDefault="002003FD" w:rsidP="00163882">
            <w:pPr>
              <w:jc w:val="center"/>
              <w:rPr>
                <w:rFonts w:ascii="Calibri" w:hAnsi="Calibri"/>
                <w:b/>
                <w:bCs/>
              </w:rPr>
            </w:pPr>
            <w:r w:rsidRPr="00D90382">
              <w:rPr>
                <w:rFonts w:ascii="Calibri" w:hAnsi="Calibri"/>
                <w:b/>
                <w:bCs/>
              </w:rPr>
              <w:t>0,3 %</w:t>
            </w:r>
          </w:p>
        </w:tc>
        <w:tc>
          <w:tcPr>
            <w:tcW w:w="1043" w:type="dxa"/>
            <w:noWrap/>
            <w:vAlign w:val="center"/>
          </w:tcPr>
          <w:p w:rsidR="002003FD" w:rsidRPr="00D90382" w:rsidRDefault="002003FD" w:rsidP="00163882">
            <w:pPr>
              <w:jc w:val="center"/>
              <w:rPr>
                <w:rFonts w:ascii="Calibri" w:hAnsi="Calibri"/>
                <w:b/>
                <w:bCs/>
              </w:rPr>
            </w:pPr>
            <w:r w:rsidRPr="00D90382">
              <w:rPr>
                <w:rFonts w:ascii="Calibri" w:hAnsi="Calibri"/>
                <w:b/>
                <w:bCs/>
              </w:rPr>
              <w:t>16 %</w:t>
            </w:r>
          </w:p>
        </w:tc>
        <w:tc>
          <w:tcPr>
            <w:tcW w:w="1080" w:type="dxa"/>
            <w:noWrap/>
            <w:vAlign w:val="center"/>
          </w:tcPr>
          <w:p w:rsidR="002003FD" w:rsidRPr="00D90382" w:rsidRDefault="000530A1" w:rsidP="00163882">
            <w:pPr>
              <w:jc w:val="center"/>
              <w:rPr>
                <w:rFonts w:ascii="Calibri" w:hAnsi="Calibri"/>
                <w:b/>
                <w:bCs/>
              </w:rPr>
            </w:pPr>
            <w:r>
              <w:rPr>
                <w:rFonts w:ascii="Calibri" w:hAnsi="Calibri"/>
                <w:b/>
                <w:bCs/>
              </w:rPr>
              <w:t>13 427</w:t>
            </w:r>
          </w:p>
        </w:tc>
        <w:tc>
          <w:tcPr>
            <w:tcW w:w="1278" w:type="dxa"/>
            <w:noWrap/>
            <w:vAlign w:val="center"/>
          </w:tcPr>
          <w:p w:rsidR="002003FD" w:rsidRPr="00D90382" w:rsidRDefault="002003FD" w:rsidP="000530A1">
            <w:pPr>
              <w:jc w:val="center"/>
              <w:rPr>
                <w:rFonts w:ascii="Calibri" w:hAnsi="Calibri"/>
                <w:b/>
                <w:bCs/>
              </w:rPr>
            </w:pPr>
            <w:r w:rsidRPr="00D90382">
              <w:rPr>
                <w:rFonts w:ascii="Calibri" w:hAnsi="Calibri"/>
                <w:b/>
                <w:bCs/>
              </w:rPr>
              <w:t>4</w:t>
            </w:r>
            <w:r w:rsidR="000530A1">
              <w:rPr>
                <w:rFonts w:ascii="Calibri" w:hAnsi="Calibri"/>
                <w:b/>
                <w:bCs/>
              </w:rPr>
              <w:t> 004 764</w:t>
            </w:r>
          </w:p>
        </w:tc>
        <w:tc>
          <w:tcPr>
            <w:tcW w:w="1275" w:type="dxa"/>
            <w:noWrap/>
            <w:vAlign w:val="center"/>
          </w:tcPr>
          <w:p w:rsidR="002003FD" w:rsidRPr="00D90382" w:rsidRDefault="002003FD" w:rsidP="00163882">
            <w:pPr>
              <w:jc w:val="center"/>
              <w:rPr>
                <w:rFonts w:ascii="Calibri" w:hAnsi="Calibri"/>
                <w:b/>
                <w:bCs/>
              </w:rPr>
            </w:pPr>
            <w:r w:rsidRPr="00D90382">
              <w:rPr>
                <w:rFonts w:ascii="Calibri" w:hAnsi="Calibri"/>
                <w:b/>
                <w:bCs/>
              </w:rPr>
              <w:t>11 %</w:t>
            </w:r>
          </w:p>
        </w:tc>
      </w:tr>
      <w:bookmarkEnd w:id="0"/>
      <w:bookmarkEnd w:id="1"/>
      <w:bookmarkEnd w:id="2"/>
    </w:tbl>
    <w:p w:rsidR="002003FD" w:rsidRPr="00D90382" w:rsidRDefault="002003FD" w:rsidP="002003FD">
      <w:pPr>
        <w:pStyle w:val="Brdtext"/>
        <w:ind w:left="426" w:hanging="426"/>
        <w:rPr>
          <w:rFonts w:ascii="Helv" w:hAnsi="Helv"/>
          <w:sz w:val="22"/>
          <w:szCs w:val="22"/>
          <w:vertAlign w:val="superscript"/>
        </w:rPr>
      </w:pPr>
    </w:p>
    <w:p w:rsidR="002003FD" w:rsidRPr="00D90382" w:rsidRDefault="002003FD" w:rsidP="002003FD">
      <w:pPr>
        <w:pStyle w:val="Rubrik3"/>
        <w:rPr>
          <w:rFonts w:ascii="Helvetica" w:hAnsi="Helvetica"/>
        </w:rPr>
      </w:pPr>
    </w:p>
    <w:p w:rsidR="002003FD" w:rsidRPr="00D90382" w:rsidRDefault="002003FD" w:rsidP="00D90382">
      <w:pPr>
        <w:pStyle w:val="Rubrik3"/>
        <w:spacing w:before="0" w:after="0"/>
        <w:rPr>
          <w:rFonts w:ascii="Calibri" w:hAnsi="Calibri"/>
          <w:bCs w:val="0"/>
          <w:i/>
          <w:iCs/>
          <w:sz w:val="22"/>
          <w:szCs w:val="22"/>
        </w:rPr>
      </w:pPr>
      <w:r w:rsidRPr="00D90382">
        <w:rPr>
          <w:rFonts w:ascii="Helvetica" w:hAnsi="Helvetica"/>
        </w:rPr>
        <w:br w:type="page"/>
      </w:r>
      <w:r w:rsidRPr="00D90382">
        <w:rPr>
          <w:rFonts w:ascii="Calibri" w:hAnsi="Calibri"/>
          <w:sz w:val="22"/>
          <w:szCs w:val="22"/>
        </w:rPr>
        <w:lastRenderedPageBreak/>
        <w:t>Historik</w:t>
      </w:r>
      <w:r w:rsidRPr="00D90382">
        <w:rPr>
          <w:rFonts w:ascii="Calibri" w:hAnsi="Calibri"/>
          <w:i/>
          <w:iCs/>
          <w:sz w:val="22"/>
          <w:szCs w:val="22"/>
        </w:rPr>
        <w:t xml:space="preserve"> </w:t>
      </w:r>
    </w:p>
    <w:p w:rsidR="002003FD" w:rsidRPr="00D90382" w:rsidRDefault="002003FD" w:rsidP="002003FD">
      <w:pPr>
        <w:rPr>
          <w:rFonts w:ascii="Calibri" w:hAnsi="Calibri"/>
          <w:bCs/>
          <w:i/>
          <w:iCs/>
          <w:sz w:val="18"/>
          <w:szCs w:val="18"/>
        </w:rPr>
      </w:pPr>
      <w:r w:rsidRPr="00D90382">
        <w:rPr>
          <w:rFonts w:ascii="Calibri" w:hAnsi="Calibri"/>
          <w:i/>
          <w:sz w:val="18"/>
          <w:szCs w:val="18"/>
        </w:rPr>
        <w:t xml:space="preserve">Tabellen nedan visar andel underkända </w:t>
      </w:r>
      <w:r w:rsidRPr="00D90382">
        <w:rPr>
          <w:rFonts w:ascii="Calibri" w:hAnsi="Calibri"/>
          <w:bCs/>
          <w:i/>
          <w:iCs/>
          <w:sz w:val="18"/>
          <w:szCs w:val="18"/>
        </w:rPr>
        <w:t xml:space="preserve">fordon med krav på efterkontroll (inkl. </w:t>
      </w:r>
      <w:r w:rsidR="004E7E86">
        <w:rPr>
          <w:rFonts w:ascii="Calibri" w:hAnsi="Calibri"/>
          <w:bCs/>
          <w:i/>
          <w:iCs/>
          <w:sz w:val="18"/>
          <w:szCs w:val="18"/>
        </w:rPr>
        <w:t>körförbud) under åren 2000 -2012</w:t>
      </w:r>
      <w:r w:rsidRPr="00D90382">
        <w:rPr>
          <w:rFonts w:ascii="Calibri" w:hAnsi="Calibri"/>
          <w:bCs/>
          <w:i/>
          <w:iCs/>
          <w:sz w:val="18"/>
          <w:szCs w:val="18"/>
        </w:rPr>
        <w:t>.</w:t>
      </w:r>
    </w:p>
    <w:p w:rsidR="002003FD" w:rsidRPr="00D90382" w:rsidRDefault="002003FD" w:rsidP="002003FD">
      <w:pPr>
        <w:rPr>
          <w:rFonts w:ascii="Calibri" w:hAnsi="Calibri"/>
          <w:i/>
        </w:rPr>
      </w:pPr>
    </w:p>
    <w:tbl>
      <w:tblPr>
        <w:tblW w:w="9182" w:type="dxa"/>
        <w:tblInd w:w="55" w:type="dxa"/>
        <w:tblCellMar>
          <w:left w:w="70" w:type="dxa"/>
          <w:right w:w="70" w:type="dxa"/>
        </w:tblCellMar>
        <w:tblLook w:val="0000"/>
      </w:tblPr>
      <w:tblGrid>
        <w:gridCol w:w="761"/>
        <w:gridCol w:w="960"/>
        <w:gridCol w:w="1129"/>
        <w:gridCol w:w="1134"/>
        <w:gridCol w:w="886"/>
        <w:gridCol w:w="1302"/>
        <w:gridCol w:w="1302"/>
        <w:gridCol w:w="862"/>
        <w:gridCol w:w="850"/>
      </w:tblGrid>
      <w:tr w:rsidR="002003FD" w:rsidRPr="00D90382">
        <w:trPr>
          <w:trHeight w:val="761"/>
        </w:trPr>
        <w:tc>
          <w:tcPr>
            <w:tcW w:w="761" w:type="dxa"/>
            <w:tcBorders>
              <w:top w:val="nil"/>
              <w:left w:val="nil"/>
              <w:bottom w:val="nil"/>
              <w:right w:val="nil"/>
            </w:tcBorders>
            <w:shd w:val="clear" w:color="auto" w:fill="808080"/>
            <w:vAlign w:val="bottom"/>
          </w:tcPr>
          <w:p w:rsidR="002003FD" w:rsidRPr="00D90382" w:rsidRDefault="002003FD" w:rsidP="00D90382">
            <w:pPr>
              <w:rPr>
                <w:rFonts w:ascii="Calibri" w:hAnsi="Calibri" w:cs="Arial"/>
                <w:b/>
                <w:bCs/>
              </w:rPr>
            </w:pPr>
            <w:r w:rsidRPr="00D90382">
              <w:rPr>
                <w:rFonts w:ascii="Calibri" w:hAnsi="Calibri" w:cs="Arial"/>
                <w:b/>
                <w:bCs/>
              </w:rPr>
              <w:t>År</w:t>
            </w:r>
          </w:p>
          <w:p w:rsidR="002003FD" w:rsidRPr="00D90382" w:rsidRDefault="002003FD" w:rsidP="00D90382">
            <w:pPr>
              <w:rPr>
                <w:rFonts w:ascii="Calibri" w:hAnsi="Calibri" w:cs="Arial"/>
                <w:b/>
                <w:bCs/>
              </w:rPr>
            </w:pPr>
          </w:p>
        </w:tc>
        <w:tc>
          <w:tcPr>
            <w:tcW w:w="960" w:type="dxa"/>
            <w:tcBorders>
              <w:top w:val="nil"/>
              <w:left w:val="nil"/>
              <w:bottom w:val="nil"/>
              <w:right w:val="nil"/>
            </w:tcBorders>
            <w:shd w:val="clear" w:color="auto" w:fill="808080"/>
            <w:vAlign w:val="bottom"/>
          </w:tcPr>
          <w:p w:rsidR="002003FD" w:rsidRPr="00D90382" w:rsidRDefault="002003FD" w:rsidP="00D90382">
            <w:pPr>
              <w:rPr>
                <w:rFonts w:ascii="Calibri" w:hAnsi="Calibri" w:cs="Arial"/>
                <w:b/>
                <w:bCs/>
              </w:rPr>
            </w:pPr>
            <w:proofErr w:type="spellStart"/>
            <w:r w:rsidRPr="00D90382">
              <w:rPr>
                <w:rFonts w:ascii="Calibri" w:hAnsi="Calibri" w:cs="Arial"/>
                <w:b/>
                <w:bCs/>
              </w:rPr>
              <w:t>Person-bilar</w:t>
            </w:r>
            <w:proofErr w:type="spellEnd"/>
          </w:p>
          <w:p w:rsidR="002003FD" w:rsidRPr="00D90382" w:rsidRDefault="002003FD" w:rsidP="00D90382">
            <w:pPr>
              <w:rPr>
                <w:rFonts w:ascii="Calibri" w:hAnsi="Calibri" w:cs="Arial"/>
                <w:b/>
                <w:bCs/>
              </w:rPr>
            </w:pPr>
          </w:p>
        </w:tc>
        <w:tc>
          <w:tcPr>
            <w:tcW w:w="1129" w:type="dxa"/>
            <w:tcBorders>
              <w:top w:val="nil"/>
              <w:left w:val="nil"/>
              <w:bottom w:val="nil"/>
              <w:right w:val="nil"/>
            </w:tcBorders>
            <w:shd w:val="clear" w:color="auto" w:fill="808080"/>
            <w:vAlign w:val="bottom"/>
          </w:tcPr>
          <w:p w:rsidR="002003FD" w:rsidRPr="00D90382" w:rsidRDefault="002003FD" w:rsidP="00D90382">
            <w:pPr>
              <w:rPr>
                <w:rFonts w:ascii="Calibri" w:hAnsi="Calibri" w:cs="Arial"/>
                <w:b/>
                <w:bCs/>
              </w:rPr>
            </w:pPr>
            <w:r w:rsidRPr="00D90382">
              <w:rPr>
                <w:rFonts w:ascii="Calibri" w:hAnsi="Calibri" w:cs="Arial"/>
                <w:b/>
                <w:bCs/>
              </w:rPr>
              <w:t>Lätta lastbilar</w:t>
            </w:r>
          </w:p>
          <w:p w:rsidR="002003FD" w:rsidRPr="00D90382" w:rsidRDefault="002003FD" w:rsidP="00D90382">
            <w:pPr>
              <w:rPr>
                <w:rFonts w:ascii="Calibri" w:hAnsi="Calibri" w:cs="Arial"/>
                <w:b/>
                <w:bCs/>
              </w:rPr>
            </w:pPr>
          </w:p>
        </w:tc>
        <w:tc>
          <w:tcPr>
            <w:tcW w:w="1134" w:type="dxa"/>
            <w:tcBorders>
              <w:top w:val="nil"/>
              <w:left w:val="nil"/>
              <w:bottom w:val="nil"/>
              <w:right w:val="nil"/>
            </w:tcBorders>
            <w:shd w:val="clear" w:color="auto" w:fill="808080"/>
            <w:vAlign w:val="bottom"/>
          </w:tcPr>
          <w:p w:rsidR="002003FD" w:rsidRPr="00D90382" w:rsidRDefault="002003FD" w:rsidP="00D90382">
            <w:pPr>
              <w:rPr>
                <w:rFonts w:ascii="Calibri" w:hAnsi="Calibri" w:cs="Arial"/>
                <w:b/>
                <w:bCs/>
              </w:rPr>
            </w:pPr>
            <w:r w:rsidRPr="00D90382">
              <w:rPr>
                <w:rFonts w:ascii="Calibri" w:hAnsi="Calibri" w:cs="Arial"/>
                <w:b/>
                <w:bCs/>
              </w:rPr>
              <w:t xml:space="preserve">Tunga lastbilar </w:t>
            </w:r>
            <w:r w:rsidRPr="00D90382">
              <w:rPr>
                <w:rFonts w:ascii="Calibri" w:hAnsi="Calibri" w:cs="Arial"/>
                <w:sz w:val="16"/>
                <w:szCs w:val="16"/>
              </w:rPr>
              <w:t>(&gt;3,5 t)</w:t>
            </w:r>
          </w:p>
        </w:tc>
        <w:tc>
          <w:tcPr>
            <w:tcW w:w="886" w:type="dxa"/>
            <w:tcBorders>
              <w:top w:val="nil"/>
              <w:left w:val="nil"/>
              <w:bottom w:val="nil"/>
              <w:right w:val="nil"/>
            </w:tcBorders>
            <w:shd w:val="clear" w:color="auto" w:fill="808080"/>
            <w:vAlign w:val="bottom"/>
          </w:tcPr>
          <w:p w:rsidR="002003FD" w:rsidRPr="00D90382" w:rsidRDefault="002003FD" w:rsidP="00D90382">
            <w:pPr>
              <w:rPr>
                <w:rFonts w:ascii="Calibri" w:hAnsi="Calibri" w:cs="Arial"/>
                <w:b/>
                <w:bCs/>
              </w:rPr>
            </w:pPr>
            <w:r w:rsidRPr="00D90382">
              <w:rPr>
                <w:rFonts w:ascii="Calibri" w:hAnsi="Calibri" w:cs="Arial"/>
                <w:b/>
                <w:bCs/>
              </w:rPr>
              <w:t>Tunga bussar</w:t>
            </w:r>
            <w:r w:rsidRPr="00D90382">
              <w:rPr>
                <w:rFonts w:ascii="Calibri" w:hAnsi="Calibri" w:cs="Arial"/>
                <w:sz w:val="16"/>
                <w:szCs w:val="16"/>
              </w:rPr>
              <w:t xml:space="preserve"> (&gt;3,5 t)</w:t>
            </w:r>
          </w:p>
        </w:tc>
        <w:tc>
          <w:tcPr>
            <w:tcW w:w="1302" w:type="dxa"/>
            <w:tcBorders>
              <w:top w:val="nil"/>
              <w:left w:val="nil"/>
              <w:bottom w:val="nil"/>
              <w:right w:val="nil"/>
            </w:tcBorders>
            <w:shd w:val="clear" w:color="auto" w:fill="808080"/>
            <w:vAlign w:val="bottom"/>
          </w:tcPr>
          <w:p w:rsidR="002003FD" w:rsidRPr="00D90382" w:rsidRDefault="002003FD" w:rsidP="00D90382">
            <w:pPr>
              <w:rPr>
                <w:rFonts w:ascii="Calibri" w:hAnsi="Calibri" w:cs="Arial"/>
                <w:b/>
                <w:bCs/>
              </w:rPr>
            </w:pPr>
            <w:r w:rsidRPr="00D90382">
              <w:rPr>
                <w:rFonts w:ascii="Calibri" w:hAnsi="Calibri" w:cs="Arial"/>
                <w:b/>
                <w:bCs/>
              </w:rPr>
              <w:t xml:space="preserve">Lätta släpvagnar </w:t>
            </w:r>
          </w:p>
          <w:p w:rsidR="002003FD" w:rsidRPr="00D90382" w:rsidRDefault="002003FD" w:rsidP="00D90382">
            <w:pPr>
              <w:rPr>
                <w:rFonts w:ascii="Calibri" w:hAnsi="Calibri" w:cs="Arial"/>
                <w:b/>
                <w:bCs/>
              </w:rPr>
            </w:pPr>
          </w:p>
        </w:tc>
        <w:tc>
          <w:tcPr>
            <w:tcW w:w="1302" w:type="dxa"/>
            <w:tcBorders>
              <w:top w:val="nil"/>
              <w:left w:val="nil"/>
              <w:bottom w:val="nil"/>
              <w:right w:val="nil"/>
            </w:tcBorders>
            <w:shd w:val="clear" w:color="auto" w:fill="808080"/>
            <w:vAlign w:val="bottom"/>
          </w:tcPr>
          <w:p w:rsidR="002003FD" w:rsidRPr="00D90382" w:rsidRDefault="002003FD" w:rsidP="00D90382">
            <w:pPr>
              <w:rPr>
                <w:rFonts w:ascii="Calibri" w:hAnsi="Calibri" w:cs="Arial"/>
                <w:sz w:val="16"/>
                <w:szCs w:val="16"/>
              </w:rPr>
            </w:pPr>
            <w:r w:rsidRPr="00D90382">
              <w:rPr>
                <w:rFonts w:ascii="Calibri" w:hAnsi="Calibri" w:cs="Arial"/>
                <w:b/>
              </w:rPr>
              <w:t>Tunga släpvagnar</w:t>
            </w:r>
            <w:r w:rsidRPr="00D90382">
              <w:rPr>
                <w:rFonts w:ascii="Calibri" w:hAnsi="Calibri" w:cs="Arial"/>
                <w:sz w:val="16"/>
                <w:szCs w:val="16"/>
              </w:rPr>
              <w:t xml:space="preserve"> (&gt;3,5 t)</w:t>
            </w:r>
          </w:p>
        </w:tc>
        <w:tc>
          <w:tcPr>
            <w:tcW w:w="862" w:type="dxa"/>
            <w:tcBorders>
              <w:top w:val="nil"/>
              <w:left w:val="nil"/>
              <w:bottom w:val="nil"/>
              <w:right w:val="nil"/>
            </w:tcBorders>
            <w:shd w:val="clear" w:color="auto" w:fill="808080"/>
            <w:vAlign w:val="bottom"/>
          </w:tcPr>
          <w:p w:rsidR="002003FD" w:rsidRPr="00D90382" w:rsidRDefault="002003FD" w:rsidP="00D90382">
            <w:pPr>
              <w:rPr>
                <w:rFonts w:ascii="Calibri" w:hAnsi="Calibri" w:cs="Arial"/>
                <w:b/>
                <w:bCs/>
              </w:rPr>
            </w:pPr>
            <w:proofErr w:type="spellStart"/>
            <w:r w:rsidRPr="00D90382">
              <w:rPr>
                <w:rFonts w:ascii="Calibri" w:hAnsi="Calibri" w:cs="Arial"/>
                <w:b/>
                <w:bCs/>
              </w:rPr>
              <w:t>Hus-vagnar</w:t>
            </w:r>
            <w:proofErr w:type="spellEnd"/>
          </w:p>
          <w:p w:rsidR="002003FD" w:rsidRPr="00D90382" w:rsidRDefault="002003FD" w:rsidP="00D90382">
            <w:pPr>
              <w:rPr>
                <w:rFonts w:ascii="Calibri" w:hAnsi="Calibri" w:cs="Arial"/>
                <w:b/>
                <w:bCs/>
              </w:rPr>
            </w:pPr>
          </w:p>
        </w:tc>
        <w:tc>
          <w:tcPr>
            <w:tcW w:w="846" w:type="dxa"/>
            <w:tcBorders>
              <w:top w:val="nil"/>
              <w:left w:val="nil"/>
              <w:bottom w:val="nil"/>
              <w:right w:val="nil"/>
            </w:tcBorders>
            <w:shd w:val="clear" w:color="auto" w:fill="808080"/>
            <w:vAlign w:val="bottom"/>
          </w:tcPr>
          <w:p w:rsidR="002003FD" w:rsidRPr="00D90382" w:rsidRDefault="002003FD" w:rsidP="00D90382">
            <w:pPr>
              <w:rPr>
                <w:rFonts w:ascii="Calibri" w:hAnsi="Calibri" w:cs="Arial"/>
                <w:b/>
                <w:bCs/>
              </w:rPr>
            </w:pPr>
            <w:proofErr w:type="spellStart"/>
            <w:r w:rsidRPr="00D90382">
              <w:rPr>
                <w:rFonts w:ascii="Calibri" w:hAnsi="Calibri" w:cs="Arial"/>
                <w:b/>
                <w:bCs/>
              </w:rPr>
              <w:t>Motor-cyklar</w:t>
            </w:r>
            <w:proofErr w:type="spellEnd"/>
          </w:p>
          <w:p w:rsidR="002003FD" w:rsidRPr="00D90382" w:rsidRDefault="002003FD" w:rsidP="00D90382">
            <w:pPr>
              <w:rPr>
                <w:rFonts w:ascii="Calibri" w:hAnsi="Calibri" w:cs="Arial"/>
                <w:b/>
                <w:bCs/>
              </w:rPr>
            </w:pPr>
          </w:p>
        </w:tc>
      </w:tr>
      <w:tr w:rsidR="002003FD" w:rsidRPr="00D90382">
        <w:trPr>
          <w:trHeight w:val="342"/>
        </w:trPr>
        <w:tc>
          <w:tcPr>
            <w:tcW w:w="761" w:type="dxa"/>
            <w:tcBorders>
              <w:top w:val="nil"/>
              <w:left w:val="nil"/>
              <w:bottom w:val="nil"/>
              <w:right w:val="nil"/>
            </w:tcBorders>
            <w:shd w:val="clear" w:color="auto" w:fill="auto"/>
            <w:noWrap/>
            <w:vAlign w:val="bottom"/>
          </w:tcPr>
          <w:p w:rsidR="002003FD" w:rsidRPr="00D90382" w:rsidRDefault="002003FD" w:rsidP="00D90382">
            <w:pPr>
              <w:rPr>
                <w:rFonts w:ascii="Calibri" w:hAnsi="Calibri"/>
                <w:b/>
                <w:bCs/>
                <w:sz w:val="18"/>
                <w:szCs w:val="18"/>
              </w:rPr>
            </w:pPr>
            <w:r w:rsidRPr="00D90382">
              <w:rPr>
                <w:rFonts w:ascii="Calibri" w:hAnsi="Calibri"/>
                <w:b/>
                <w:bCs/>
                <w:sz w:val="18"/>
                <w:szCs w:val="18"/>
              </w:rPr>
              <w:t>2000</w:t>
            </w:r>
          </w:p>
        </w:tc>
        <w:tc>
          <w:tcPr>
            <w:tcW w:w="960"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35 %</w:t>
            </w:r>
          </w:p>
        </w:tc>
        <w:tc>
          <w:tcPr>
            <w:tcW w:w="1129"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39 %</w:t>
            </w:r>
          </w:p>
        </w:tc>
        <w:tc>
          <w:tcPr>
            <w:tcW w:w="1134"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41 %</w:t>
            </w:r>
          </w:p>
        </w:tc>
        <w:tc>
          <w:tcPr>
            <w:tcW w:w="886"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29 %</w:t>
            </w:r>
          </w:p>
        </w:tc>
        <w:tc>
          <w:tcPr>
            <w:tcW w:w="1302"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20 %</w:t>
            </w:r>
          </w:p>
        </w:tc>
        <w:tc>
          <w:tcPr>
            <w:tcW w:w="1302"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48 %</w:t>
            </w:r>
          </w:p>
        </w:tc>
        <w:tc>
          <w:tcPr>
            <w:tcW w:w="862"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14 %</w:t>
            </w:r>
          </w:p>
        </w:tc>
        <w:tc>
          <w:tcPr>
            <w:tcW w:w="846"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8 %</w:t>
            </w:r>
          </w:p>
        </w:tc>
      </w:tr>
      <w:tr w:rsidR="002003FD" w:rsidRPr="00D90382">
        <w:trPr>
          <w:trHeight w:val="342"/>
        </w:trPr>
        <w:tc>
          <w:tcPr>
            <w:tcW w:w="761" w:type="dxa"/>
            <w:tcBorders>
              <w:top w:val="nil"/>
              <w:left w:val="nil"/>
              <w:bottom w:val="nil"/>
              <w:right w:val="nil"/>
            </w:tcBorders>
            <w:shd w:val="clear" w:color="auto" w:fill="auto"/>
            <w:noWrap/>
            <w:vAlign w:val="bottom"/>
          </w:tcPr>
          <w:p w:rsidR="002003FD" w:rsidRPr="00D90382" w:rsidRDefault="002003FD" w:rsidP="00D90382">
            <w:pPr>
              <w:rPr>
                <w:rFonts w:ascii="Calibri" w:hAnsi="Calibri"/>
                <w:b/>
                <w:bCs/>
                <w:sz w:val="18"/>
                <w:szCs w:val="18"/>
              </w:rPr>
            </w:pPr>
            <w:r w:rsidRPr="00D90382">
              <w:rPr>
                <w:rFonts w:ascii="Calibri" w:hAnsi="Calibri"/>
                <w:b/>
                <w:bCs/>
                <w:sz w:val="18"/>
                <w:szCs w:val="18"/>
              </w:rPr>
              <w:t>2001</w:t>
            </w:r>
          </w:p>
        </w:tc>
        <w:tc>
          <w:tcPr>
            <w:tcW w:w="960"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34 %</w:t>
            </w:r>
          </w:p>
        </w:tc>
        <w:tc>
          <w:tcPr>
            <w:tcW w:w="1129"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38 %</w:t>
            </w:r>
          </w:p>
        </w:tc>
        <w:tc>
          <w:tcPr>
            <w:tcW w:w="1134"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42 %</w:t>
            </w:r>
          </w:p>
        </w:tc>
        <w:tc>
          <w:tcPr>
            <w:tcW w:w="886"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32 %</w:t>
            </w:r>
          </w:p>
        </w:tc>
        <w:tc>
          <w:tcPr>
            <w:tcW w:w="1302"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19 %</w:t>
            </w:r>
          </w:p>
        </w:tc>
        <w:tc>
          <w:tcPr>
            <w:tcW w:w="1302"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49 %</w:t>
            </w:r>
          </w:p>
        </w:tc>
        <w:tc>
          <w:tcPr>
            <w:tcW w:w="862"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13 %</w:t>
            </w:r>
          </w:p>
        </w:tc>
        <w:tc>
          <w:tcPr>
            <w:tcW w:w="846"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8 %</w:t>
            </w:r>
          </w:p>
        </w:tc>
      </w:tr>
      <w:tr w:rsidR="002003FD" w:rsidRPr="00D90382">
        <w:trPr>
          <w:trHeight w:val="342"/>
        </w:trPr>
        <w:tc>
          <w:tcPr>
            <w:tcW w:w="761" w:type="dxa"/>
            <w:tcBorders>
              <w:top w:val="nil"/>
              <w:left w:val="nil"/>
              <w:bottom w:val="nil"/>
              <w:right w:val="nil"/>
            </w:tcBorders>
            <w:shd w:val="clear" w:color="auto" w:fill="auto"/>
            <w:noWrap/>
            <w:vAlign w:val="bottom"/>
          </w:tcPr>
          <w:p w:rsidR="002003FD" w:rsidRPr="00D90382" w:rsidRDefault="002003FD" w:rsidP="00D90382">
            <w:pPr>
              <w:rPr>
                <w:rFonts w:ascii="Calibri" w:hAnsi="Calibri"/>
                <w:b/>
                <w:bCs/>
                <w:sz w:val="18"/>
                <w:szCs w:val="18"/>
              </w:rPr>
            </w:pPr>
            <w:r w:rsidRPr="00D90382">
              <w:rPr>
                <w:rFonts w:ascii="Calibri" w:hAnsi="Calibri"/>
                <w:b/>
                <w:bCs/>
                <w:sz w:val="18"/>
                <w:szCs w:val="18"/>
              </w:rPr>
              <w:t>2002</w:t>
            </w:r>
          </w:p>
        </w:tc>
        <w:tc>
          <w:tcPr>
            <w:tcW w:w="960"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33 %</w:t>
            </w:r>
          </w:p>
        </w:tc>
        <w:tc>
          <w:tcPr>
            <w:tcW w:w="1129"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37 %</w:t>
            </w:r>
          </w:p>
        </w:tc>
        <w:tc>
          <w:tcPr>
            <w:tcW w:w="1134"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43 %</w:t>
            </w:r>
          </w:p>
        </w:tc>
        <w:tc>
          <w:tcPr>
            <w:tcW w:w="886"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proofErr w:type="gramStart"/>
            <w:r w:rsidRPr="00D90382">
              <w:rPr>
                <w:rFonts w:ascii="Calibri" w:hAnsi="Calibri" w:cs="Arial"/>
                <w:b/>
                <w:bCs/>
              </w:rPr>
              <w:t>45%</w:t>
            </w:r>
            <w:proofErr w:type="gramEnd"/>
            <w:r w:rsidRPr="00D90382">
              <w:rPr>
                <w:rFonts w:ascii="Calibri" w:hAnsi="Calibri" w:cs="Arial"/>
                <w:b/>
                <w:bCs/>
              </w:rPr>
              <w:t xml:space="preserve"> </w:t>
            </w:r>
            <w:r w:rsidRPr="00D90382">
              <w:rPr>
                <w:rFonts w:ascii="Calibri" w:hAnsi="Calibri" w:cs="Arial"/>
                <w:b/>
                <w:bCs/>
                <w:vertAlign w:val="superscript"/>
              </w:rPr>
              <w:t>1)</w:t>
            </w:r>
          </w:p>
        </w:tc>
        <w:tc>
          <w:tcPr>
            <w:tcW w:w="1302"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19 %</w:t>
            </w:r>
          </w:p>
        </w:tc>
        <w:tc>
          <w:tcPr>
            <w:tcW w:w="1302"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51 %</w:t>
            </w:r>
          </w:p>
        </w:tc>
        <w:tc>
          <w:tcPr>
            <w:tcW w:w="862"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14 %</w:t>
            </w:r>
          </w:p>
        </w:tc>
        <w:tc>
          <w:tcPr>
            <w:tcW w:w="846"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8 %</w:t>
            </w:r>
          </w:p>
        </w:tc>
      </w:tr>
      <w:tr w:rsidR="002003FD" w:rsidRPr="00D90382">
        <w:trPr>
          <w:trHeight w:val="342"/>
        </w:trPr>
        <w:tc>
          <w:tcPr>
            <w:tcW w:w="761" w:type="dxa"/>
            <w:tcBorders>
              <w:top w:val="nil"/>
              <w:left w:val="nil"/>
              <w:bottom w:val="nil"/>
              <w:right w:val="nil"/>
            </w:tcBorders>
            <w:shd w:val="clear" w:color="auto" w:fill="auto"/>
            <w:noWrap/>
            <w:vAlign w:val="bottom"/>
          </w:tcPr>
          <w:p w:rsidR="002003FD" w:rsidRPr="00D90382" w:rsidRDefault="002003FD" w:rsidP="00D90382">
            <w:pPr>
              <w:rPr>
                <w:rFonts w:ascii="Calibri" w:hAnsi="Calibri"/>
                <w:b/>
                <w:bCs/>
                <w:sz w:val="18"/>
                <w:szCs w:val="18"/>
              </w:rPr>
            </w:pPr>
            <w:r w:rsidRPr="00D90382">
              <w:rPr>
                <w:rFonts w:ascii="Calibri" w:hAnsi="Calibri"/>
                <w:b/>
                <w:bCs/>
                <w:sz w:val="18"/>
                <w:szCs w:val="18"/>
              </w:rPr>
              <w:t>2003</w:t>
            </w:r>
          </w:p>
        </w:tc>
        <w:tc>
          <w:tcPr>
            <w:tcW w:w="960"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33 %</w:t>
            </w:r>
          </w:p>
        </w:tc>
        <w:tc>
          <w:tcPr>
            <w:tcW w:w="1129"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37 %</w:t>
            </w:r>
          </w:p>
        </w:tc>
        <w:tc>
          <w:tcPr>
            <w:tcW w:w="1134"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43 %</w:t>
            </w:r>
          </w:p>
        </w:tc>
        <w:tc>
          <w:tcPr>
            <w:tcW w:w="886"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39 %</w:t>
            </w:r>
          </w:p>
        </w:tc>
        <w:tc>
          <w:tcPr>
            <w:tcW w:w="1302"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17 %</w:t>
            </w:r>
          </w:p>
        </w:tc>
        <w:tc>
          <w:tcPr>
            <w:tcW w:w="1302"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51 %</w:t>
            </w:r>
          </w:p>
        </w:tc>
        <w:tc>
          <w:tcPr>
            <w:tcW w:w="862"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proofErr w:type="gramStart"/>
            <w:r w:rsidRPr="00D90382">
              <w:rPr>
                <w:rFonts w:ascii="Calibri" w:hAnsi="Calibri" w:cs="Arial"/>
                <w:b/>
                <w:bCs/>
              </w:rPr>
              <w:t>16%</w:t>
            </w:r>
            <w:r w:rsidRPr="00D90382">
              <w:rPr>
                <w:rFonts w:ascii="Calibri" w:hAnsi="Calibri" w:cs="Arial"/>
                <w:b/>
                <w:bCs/>
                <w:vertAlign w:val="superscript"/>
              </w:rPr>
              <w:t>2</w:t>
            </w:r>
            <w:proofErr w:type="gramEnd"/>
            <w:r w:rsidRPr="00D90382">
              <w:rPr>
                <w:rFonts w:ascii="Calibri" w:hAnsi="Calibri" w:cs="Arial"/>
                <w:b/>
                <w:bCs/>
                <w:vertAlign w:val="superscript"/>
              </w:rPr>
              <w:t>)</w:t>
            </w:r>
          </w:p>
        </w:tc>
        <w:tc>
          <w:tcPr>
            <w:tcW w:w="846"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8 %</w:t>
            </w:r>
          </w:p>
        </w:tc>
      </w:tr>
      <w:tr w:rsidR="002003FD" w:rsidRPr="00D90382">
        <w:trPr>
          <w:trHeight w:val="342"/>
        </w:trPr>
        <w:tc>
          <w:tcPr>
            <w:tcW w:w="761" w:type="dxa"/>
            <w:tcBorders>
              <w:top w:val="nil"/>
              <w:left w:val="nil"/>
              <w:bottom w:val="nil"/>
              <w:right w:val="nil"/>
            </w:tcBorders>
            <w:shd w:val="clear" w:color="auto" w:fill="auto"/>
            <w:noWrap/>
            <w:vAlign w:val="bottom"/>
          </w:tcPr>
          <w:p w:rsidR="002003FD" w:rsidRPr="00D90382" w:rsidRDefault="002003FD" w:rsidP="00D90382">
            <w:pPr>
              <w:rPr>
                <w:rFonts w:ascii="Calibri" w:hAnsi="Calibri"/>
                <w:b/>
                <w:bCs/>
                <w:sz w:val="18"/>
                <w:szCs w:val="18"/>
              </w:rPr>
            </w:pPr>
            <w:r w:rsidRPr="00D90382">
              <w:rPr>
                <w:rFonts w:ascii="Calibri" w:hAnsi="Calibri"/>
                <w:b/>
                <w:bCs/>
                <w:sz w:val="18"/>
                <w:szCs w:val="18"/>
              </w:rPr>
              <w:t>2004</w:t>
            </w:r>
          </w:p>
        </w:tc>
        <w:tc>
          <w:tcPr>
            <w:tcW w:w="960"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32 %</w:t>
            </w:r>
          </w:p>
        </w:tc>
        <w:tc>
          <w:tcPr>
            <w:tcW w:w="1129"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37 %</w:t>
            </w:r>
          </w:p>
        </w:tc>
        <w:tc>
          <w:tcPr>
            <w:tcW w:w="1134"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43 %</w:t>
            </w:r>
          </w:p>
        </w:tc>
        <w:tc>
          <w:tcPr>
            <w:tcW w:w="886"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38 %</w:t>
            </w:r>
          </w:p>
        </w:tc>
        <w:tc>
          <w:tcPr>
            <w:tcW w:w="1302"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19 %</w:t>
            </w:r>
          </w:p>
        </w:tc>
        <w:tc>
          <w:tcPr>
            <w:tcW w:w="1302"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52 %</w:t>
            </w:r>
          </w:p>
        </w:tc>
        <w:tc>
          <w:tcPr>
            <w:tcW w:w="862"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16 %</w:t>
            </w:r>
          </w:p>
        </w:tc>
        <w:tc>
          <w:tcPr>
            <w:tcW w:w="846"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9 %</w:t>
            </w:r>
          </w:p>
        </w:tc>
      </w:tr>
      <w:tr w:rsidR="002003FD" w:rsidRPr="00D90382">
        <w:trPr>
          <w:trHeight w:val="342"/>
        </w:trPr>
        <w:tc>
          <w:tcPr>
            <w:tcW w:w="761" w:type="dxa"/>
            <w:tcBorders>
              <w:top w:val="nil"/>
              <w:left w:val="nil"/>
              <w:bottom w:val="nil"/>
              <w:right w:val="nil"/>
            </w:tcBorders>
            <w:shd w:val="clear" w:color="auto" w:fill="auto"/>
            <w:noWrap/>
            <w:vAlign w:val="bottom"/>
          </w:tcPr>
          <w:p w:rsidR="002003FD" w:rsidRPr="00D90382" w:rsidRDefault="002003FD" w:rsidP="00D90382">
            <w:pPr>
              <w:rPr>
                <w:rFonts w:ascii="Calibri" w:hAnsi="Calibri"/>
                <w:b/>
                <w:bCs/>
                <w:sz w:val="18"/>
                <w:szCs w:val="18"/>
              </w:rPr>
            </w:pPr>
            <w:r w:rsidRPr="00D90382">
              <w:rPr>
                <w:rFonts w:ascii="Calibri" w:hAnsi="Calibri"/>
                <w:b/>
                <w:bCs/>
                <w:sz w:val="18"/>
                <w:szCs w:val="18"/>
              </w:rPr>
              <w:t>2005</w:t>
            </w:r>
          </w:p>
        </w:tc>
        <w:tc>
          <w:tcPr>
            <w:tcW w:w="960"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32 %</w:t>
            </w:r>
          </w:p>
        </w:tc>
        <w:tc>
          <w:tcPr>
            <w:tcW w:w="1129"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38 %</w:t>
            </w:r>
          </w:p>
        </w:tc>
        <w:tc>
          <w:tcPr>
            <w:tcW w:w="1134"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44 %</w:t>
            </w:r>
          </w:p>
        </w:tc>
        <w:tc>
          <w:tcPr>
            <w:tcW w:w="886"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39 %</w:t>
            </w:r>
          </w:p>
        </w:tc>
        <w:tc>
          <w:tcPr>
            <w:tcW w:w="1302"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22 %</w:t>
            </w:r>
          </w:p>
        </w:tc>
        <w:tc>
          <w:tcPr>
            <w:tcW w:w="1302"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53 %</w:t>
            </w:r>
          </w:p>
        </w:tc>
        <w:tc>
          <w:tcPr>
            <w:tcW w:w="862"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17 %</w:t>
            </w:r>
          </w:p>
        </w:tc>
        <w:tc>
          <w:tcPr>
            <w:tcW w:w="846"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9 %</w:t>
            </w:r>
          </w:p>
        </w:tc>
      </w:tr>
      <w:tr w:rsidR="002003FD" w:rsidRPr="00D90382">
        <w:trPr>
          <w:trHeight w:val="342"/>
        </w:trPr>
        <w:tc>
          <w:tcPr>
            <w:tcW w:w="761" w:type="dxa"/>
            <w:tcBorders>
              <w:top w:val="nil"/>
              <w:left w:val="nil"/>
              <w:bottom w:val="nil"/>
              <w:right w:val="nil"/>
            </w:tcBorders>
            <w:shd w:val="clear" w:color="auto" w:fill="auto"/>
            <w:noWrap/>
            <w:vAlign w:val="bottom"/>
          </w:tcPr>
          <w:p w:rsidR="002003FD" w:rsidRPr="00D90382" w:rsidRDefault="002003FD" w:rsidP="00D90382">
            <w:pPr>
              <w:rPr>
                <w:rFonts w:ascii="Calibri" w:hAnsi="Calibri"/>
                <w:b/>
                <w:bCs/>
                <w:sz w:val="18"/>
                <w:szCs w:val="18"/>
              </w:rPr>
            </w:pPr>
            <w:r w:rsidRPr="00D90382">
              <w:rPr>
                <w:rFonts w:ascii="Calibri" w:hAnsi="Calibri"/>
                <w:b/>
                <w:bCs/>
                <w:sz w:val="18"/>
                <w:szCs w:val="18"/>
              </w:rPr>
              <w:t>2006</w:t>
            </w:r>
          </w:p>
        </w:tc>
        <w:tc>
          <w:tcPr>
            <w:tcW w:w="960"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32 %</w:t>
            </w:r>
          </w:p>
        </w:tc>
        <w:tc>
          <w:tcPr>
            <w:tcW w:w="1129"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39 %</w:t>
            </w:r>
          </w:p>
        </w:tc>
        <w:tc>
          <w:tcPr>
            <w:tcW w:w="1134"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46 %</w:t>
            </w:r>
          </w:p>
        </w:tc>
        <w:tc>
          <w:tcPr>
            <w:tcW w:w="886"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41 %</w:t>
            </w:r>
          </w:p>
        </w:tc>
        <w:tc>
          <w:tcPr>
            <w:tcW w:w="1302"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26 %</w:t>
            </w:r>
          </w:p>
        </w:tc>
        <w:tc>
          <w:tcPr>
            <w:tcW w:w="1302"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54 %</w:t>
            </w:r>
          </w:p>
        </w:tc>
        <w:tc>
          <w:tcPr>
            <w:tcW w:w="862"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22 %</w:t>
            </w:r>
          </w:p>
        </w:tc>
        <w:tc>
          <w:tcPr>
            <w:tcW w:w="846"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10 %</w:t>
            </w:r>
          </w:p>
        </w:tc>
      </w:tr>
      <w:tr w:rsidR="002003FD" w:rsidRPr="00D90382">
        <w:trPr>
          <w:trHeight w:val="342"/>
        </w:trPr>
        <w:tc>
          <w:tcPr>
            <w:tcW w:w="761" w:type="dxa"/>
            <w:tcBorders>
              <w:top w:val="nil"/>
              <w:left w:val="nil"/>
              <w:bottom w:val="nil"/>
              <w:right w:val="nil"/>
            </w:tcBorders>
            <w:shd w:val="clear" w:color="auto" w:fill="auto"/>
            <w:noWrap/>
            <w:vAlign w:val="bottom"/>
          </w:tcPr>
          <w:p w:rsidR="002003FD" w:rsidRPr="00D90382" w:rsidRDefault="002003FD" w:rsidP="00D90382">
            <w:pPr>
              <w:rPr>
                <w:rFonts w:ascii="Calibri" w:hAnsi="Calibri"/>
                <w:b/>
                <w:bCs/>
                <w:sz w:val="18"/>
                <w:szCs w:val="18"/>
              </w:rPr>
            </w:pPr>
            <w:r w:rsidRPr="00D90382">
              <w:rPr>
                <w:rFonts w:ascii="Calibri" w:hAnsi="Calibri"/>
                <w:b/>
                <w:bCs/>
                <w:sz w:val="18"/>
                <w:szCs w:val="18"/>
              </w:rPr>
              <w:t>2007</w:t>
            </w:r>
          </w:p>
        </w:tc>
        <w:tc>
          <w:tcPr>
            <w:tcW w:w="960"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32 %</w:t>
            </w:r>
          </w:p>
        </w:tc>
        <w:tc>
          <w:tcPr>
            <w:tcW w:w="1129"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39 %</w:t>
            </w:r>
          </w:p>
        </w:tc>
        <w:tc>
          <w:tcPr>
            <w:tcW w:w="1134"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46 %</w:t>
            </w:r>
          </w:p>
        </w:tc>
        <w:tc>
          <w:tcPr>
            <w:tcW w:w="886"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40 %</w:t>
            </w:r>
          </w:p>
        </w:tc>
        <w:tc>
          <w:tcPr>
            <w:tcW w:w="1302"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26 %</w:t>
            </w:r>
          </w:p>
        </w:tc>
        <w:tc>
          <w:tcPr>
            <w:tcW w:w="1302"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53 %</w:t>
            </w:r>
          </w:p>
        </w:tc>
        <w:tc>
          <w:tcPr>
            <w:tcW w:w="862"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19 %</w:t>
            </w:r>
          </w:p>
        </w:tc>
        <w:tc>
          <w:tcPr>
            <w:tcW w:w="846"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10 %</w:t>
            </w:r>
          </w:p>
        </w:tc>
      </w:tr>
      <w:tr w:rsidR="002003FD" w:rsidRPr="00D90382">
        <w:trPr>
          <w:trHeight w:val="342"/>
        </w:trPr>
        <w:tc>
          <w:tcPr>
            <w:tcW w:w="761" w:type="dxa"/>
            <w:tcBorders>
              <w:top w:val="nil"/>
              <w:left w:val="nil"/>
              <w:bottom w:val="nil"/>
              <w:right w:val="nil"/>
            </w:tcBorders>
            <w:shd w:val="clear" w:color="auto" w:fill="auto"/>
            <w:noWrap/>
            <w:vAlign w:val="bottom"/>
          </w:tcPr>
          <w:p w:rsidR="002003FD" w:rsidRPr="00D90382" w:rsidRDefault="002003FD" w:rsidP="00D90382">
            <w:pPr>
              <w:rPr>
                <w:rFonts w:ascii="Calibri" w:hAnsi="Calibri"/>
                <w:b/>
                <w:bCs/>
                <w:sz w:val="18"/>
                <w:szCs w:val="18"/>
              </w:rPr>
            </w:pPr>
            <w:r w:rsidRPr="00D90382">
              <w:rPr>
                <w:rFonts w:ascii="Calibri" w:hAnsi="Calibri"/>
                <w:b/>
                <w:bCs/>
                <w:sz w:val="18"/>
                <w:szCs w:val="18"/>
              </w:rPr>
              <w:t>2008</w:t>
            </w:r>
          </w:p>
        </w:tc>
        <w:tc>
          <w:tcPr>
            <w:tcW w:w="960"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30 %</w:t>
            </w:r>
          </w:p>
        </w:tc>
        <w:tc>
          <w:tcPr>
            <w:tcW w:w="1129"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37 %</w:t>
            </w:r>
          </w:p>
        </w:tc>
        <w:tc>
          <w:tcPr>
            <w:tcW w:w="1134"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46 %</w:t>
            </w:r>
          </w:p>
        </w:tc>
        <w:tc>
          <w:tcPr>
            <w:tcW w:w="886"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37 %</w:t>
            </w:r>
          </w:p>
        </w:tc>
        <w:tc>
          <w:tcPr>
            <w:tcW w:w="1302"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26 %</w:t>
            </w:r>
          </w:p>
        </w:tc>
        <w:tc>
          <w:tcPr>
            <w:tcW w:w="1302"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52 %</w:t>
            </w:r>
          </w:p>
        </w:tc>
        <w:tc>
          <w:tcPr>
            <w:tcW w:w="862"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22 %</w:t>
            </w:r>
          </w:p>
        </w:tc>
        <w:tc>
          <w:tcPr>
            <w:tcW w:w="846"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10 %</w:t>
            </w:r>
          </w:p>
        </w:tc>
      </w:tr>
      <w:tr w:rsidR="002003FD" w:rsidRPr="00D90382">
        <w:trPr>
          <w:trHeight w:val="342"/>
        </w:trPr>
        <w:tc>
          <w:tcPr>
            <w:tcW w:w="761" w:type="dxa"/>
            <w:tcBorders>
              <w:top w:val="nil"/>
              <w:left w:val="nil"/>
              <w:bottom w:val="nil"/>
              <w:right w:val="nil"/>
            </w:tcBorders>
            <w:shd w:val="clear" w:color="auto" w:fill="auto"/>
            <w:noWrap/>
            <w:vAlign w:val="bottom"/>
          </w:tcPr>
          <w:p w:rsidR="002003FD" w:rsidRPr="00D90382" w:rsidRDefault="002003FD" w:rsidP="00D90382">
            <w:pPr>
              <w:rPr>
                <w:rFonts w:ascii="Calibri" w:hAnsi="Calibri"/>
                <w:b/>
                <w:bCs/>
                <w:sz w:val="18"/>
                <w:szCs w:val="18"/>
              </w:rPr>
            </w:pPr>
            <w:r w:rsidRPr="00D90382">
              <w:rPr>
                <w:rFonts w:ascii="Calibri" w:hAnsi="Calibri"/>
                <w:b/>
                <w:bCs/>
                <w:sz w:val="18"/>
                <w:szCs w:val="18"/>
              </w:rPr>
              <w:t>2009</w:t>
            </w:r>
          </w:p>
        </w:tc>
        <w:tc>
          <w:tcPr>
            <w:tcW w:w="960"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29 %</w:t>
            </w:r>
          </w:p>
        </w:tc>
        <w:tc>
          <w:tcPr>
            <w:tcW w:w="1129"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36 %</w:t>
            </w:r>
          </w:p>
        </w:tc>
        <w:tc>
          <w:tcPr>
            <w:tcW w:w="1134"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44 %</w:t>
            </w:r>
          </w:p>
        </w:tc>
        <w:tc>
          <w:tcPr>
            <w:tcW w:w="886"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34 %</w:t>
            </w:r>
          </w:p>
        </w:tc>
        <w:tc>
          <w:tcPr>
            <w:tcW w:w="1302"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26 %</w:t>
            </w:r>
          </w:p>
        </w:tc>
        <w:tc>
          <w:tcPr>
            <w:tcW w:w="1302"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50 %</w:t>
            </w:r>
          </w:p>
        </w:tc>
        <w:tc>
          <w:tcPr>
            <w:tcW w:w="862"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17 %</w:t>
            </w:r>
          </w:p>
        </w:tc>
        <w:tc>
          <w:tcPr>
            <w:tcW w:w="846"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10 %</w:t>
            </w:r>
          </w:p>
        </w:tc>
      </w:tr>
      <w:tr w:rsidR="002003FD" w:rsidRPr="00D90382">
        <w:trPr>
          <w:trHeight w:val="342"/>
        </w:trPr>
        <w:tc>
          <w:tcPr>
            <w:tcW w:w="761" w:type="dxa"/>
            <w:tcBorders>
              <w:top w:val="nil"/>
              <w:left w:val="nil"/>
              <w:bottom w:val="nil"/>
              <w:right w:val="nil"/>
            </w:tcBorders>
            <w:shd w:val="clear" w:color="auto" w:fill="auto"/>
            <w:noWrap/>
            <w:vAlign w:val="bottom"/>
          </w:tcPr>
          <w:p w:rsidR="002003FD" w:rsidRPr="00D90382" w:rsidRDefault="002003FD" w:rsidP="00D90382">
            <w:pPr>
              <w:rPr>
                <w:rFonts w:ascii="Calibri" w:hAnsi="Calibri"/>
                <w:b/>
                <w:bCs/>
                <w:sz w:val="18"/>
                <w:szCs w:val="18"/>
              </w:rPr>
            </w:pPr>
            <w:r w:rsidRPr="00D90382">
              <w:rPr>
                <w:rFonts w:ascii="Calibri" w:hAnsi="Calibri"/>
                <w:b/>
                <w:bCs/>
                <w:sz w:val="18"/>
                <w:szCs w:val="18"/>
              </w:rPr>
              <w:t>2010</w:t>
            </w:r>
          </w:p>
        </w:tc>
        <w:tc>
          <w:tcPr>
            <w:tcW w:w="960"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29 %</w:t>
            </w:r>
          </w:p>
        </w:tc>
        <w:tc>
          <w:tcPr>
            <w:tcW w:w="1129"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36 %</w:t>
            </w:r>
          </w:p>
        </w:tc>
        <w:tc>
          <w:tcPr>
            <w:tcW w:w="1134"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44 %</w:t>
            </w:r>
          </w:p>
        </w:tc>
        <w:tc>
          <w:tcPr>
            <w:tcW w:w="886"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32 %</w:t>
            </w:r>
          </w:p>
        </w:tc>
        <w:tc>
          <w:tcPr>
            <w:tcW w:w="1302"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25 %</w:t>
            </w:r>
          </w:p>
        </w:tc>
        <w:tc>
          <w:tcPr>
            <w:tcW w:w="1302"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52 %</w:t>
            </w:r>
          </w:p>
        </w:tc>
        <w:tc>
          <w:tcPr>
            <w:tcW w:w="862"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18 %</w:t>
            </w:r>
          </w:p>
        </w:tc>
        <w:tc>
          <w:tcPr>
            <w:tcW w:w="846"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9 %</w:t>
            </w:r>
          </w:p>
        </w:tc>
      </w:tr>
      <w:tr w:rsidR="002003FD" w:rsidRPr="00D90382">
        <w:trPr>
          <w:trHeight w:val="342"/>
        </w:trPr>
        <w:tc>
          <w:tcPr>
            <w:tcW w:w="761" w:type="dxa"/>
            <w:tcBorders>
              <w:top w:val="nil"/>
              <w:left w:val="nil"/>
              <w:bottom w:val="nil"/>
              <w:right w:val="nil"/>
            </w:tcBorders>
            <w:shd w:val="clear" w:color="auto" w:fill="auto"/>
            <w:noWrap/>
            <w:vAlign w:val="bottom"/>
          </w:tcPr>
          <w:p w:rsidR="002003FD" w:rsidRPr="00D90382" w:rsidRDefault="002003FD" w:rsidP="00D90382">
            <w:pPr>
              <w:rPr>
                <w:rFonts w:ascii="Calibri" w:hAnsi="Calibri"/>
                <w:b/>
                <w:bCs/>
                <w:sz w:val="18"/>
                <w:szCs w:val="18"/>
              </w:rPr>
            </w:pPr>
            <w:r w:rsidRPr="00D90382">
              <w:rPr>
                <w:rFonts w:ascii="Calibri" w:hAnsi="Calibri"/>
                <w:b/>
                <w:bCs/>
                <w:sz w:val="18"/>
                <w:szCs w:val="18"/>
              </w:rPr>
              <w:t>2011</w:t>
            </w:r>
          </w:p>
        </w:tc>
        <w:tc>
          <w:tcPr>
            <w:tcW w:w="960"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31 %</w:t>
            </w:r>
          </w:p>
        </w:tc>
        <w:tc>
          <w:tcPr>
            <w:tcW w:w="1129"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38 %</w:t>
            </w:r>
          </w:p>
        </w:tc>
        <w:tc>
          <w:tcPr>
            <w:tcW w:w="1134"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45 %</w:t>
            </w:r>
          </w:p>
        </w:tc>
        <w:tc>
          <w:tcPr>
            <w:tcW w:w="886"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33 %</w:t>
            </w:r>
          </w:p>
        </w:tc>
        <w:tc>
          <w:tcPr>
            <w:tcW w:w="1302"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26 %</w:t>
            </w:r>
          </w:p>
        </w:tc>
        <w:tc>
          <w:tcPr>
            <w:tcW w:w="1302"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55 %</w:t>
            </w:r>
          </w:p>
        </w:tc>
        <w:tc>
          <w:tcPr>
            <w:tcW w:w="862"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17 %</w:t>
            </w:r>
          </w:p>
        </w:tc>
        <w:tc>
          <w:tcPr>
            <w:tcW w:w="846" w:type="dxa"/>
            <w:tcBorders>
              <w:top w:val="nil"/>
              <w:left w:val="nil"/>
              <w:bottom w:val="nil"/>
              <w:right w:val="nil"/>
            </w:tcBorders>
            <w:shd w:val="clear" w:color="auto" w:fill="auto"/>
            <w:noWrap/>
            <w:vAlign w:val="bottom"/>
          </w:tcPr>
          <w:p w:rsidR="002003FD" w:rsidRPr="00D90382" w:rsidRDefault="002003FD" w:rsidP="00D90382">
            <w:pPr>
              <w:rPr>
                <w:rFonts w:ascii="Calibri" w:hAnsi="Calibri" w:cs="Arial"/>
                <w:b/>
                <w:bCs/>
              </w:rPr>
            </w:pPr>
            <w:r w:rsidRPr="00D90382">
              <w:rPr>
                <w:rFonts w:ascii="Calibri" w:hAnsi="Calibri" w:cs="Arial"/>
                <w:b/>
                <w:bCs/>
              </w:rPr>
              <w:t>10 %</w:t>
            </w:r>
          </w:p>
        </w:tc>
      </w:tr>
      <w:tr w:rsidR="000E49D4" w:rsidRPr="00D90382">
        <w:trPr>
          <w:trHeight w:val="342"/>
        </w:trPr>
        <w:tc>
          <w:tcPr>
            <w:tcW w:w="761" w:type="dxa"/>
            <w:tcBorders>
              <w:top w:val="nil"/>
              <w:left w:val="nil"/>
              <w:bottom w:val="nil"/>
              <w:right w:val="nil"/>
            </w:tcBorders>
            <w:shd w:val="clear" w:color="auto" w:fill="auto"/>
            <w:noWrap/>
            <w:vAlign w:val="bottom"/>
          </w:tcPr>
          <w:p w:rsidR="000E49D4" w:rsidRPr="00D90382" w:rsidRDefault="000E49D4" w:rsidP="00D90382">
            <w:pPr>
              <w:rPr>
                <w:rFonts w:ascii="Calibri" w:hAnsi="Calibri"/>
                <w:b/>
                <w:bCs/>
                <w:sz w:val="18"/>
                <w:szCs w:val="18"/>
              </w:rPr>
            </w:pPr>
            <w:r>
              <w:rPr>
                <w:rFonts w:ascii="Calibri" w:hAnsi="Calibri"/>
                <w:b/>
                <w:bCs/>
                <w:sz w:val="18"/>
                <w:szCs w:val="18"/>
              </w:rPr>
              <w:t>2012</w:t>
            </w:r>
          </w:p>
        </w:tc>
        <w:tc>
          <w:tcPr>
            <w:tcW w:w="960" w:type="dxa"/>
            <w:tcBorders>
              <w:top w:val="nil"/>
              <w:left w:val="nil"/>
              <w:bottom w:val="nil"/>
              <w:right w:val="nil"/>
            </w:tcBorders>
            <w:shd w:val="clear" w:color="auto" w:fill="auto"/>
            <w:noWrap/>
            <w:vAlign w:val="bottom"/>
          </w:tcPr>
          <w:p w:rsidR="000E49D4" w:rsidRPr="00D90382" w:rsidRDefault="000E49D4" w:rsidP="00D90382">
            <w:pPr>
              <w:rPr>
                <w:rFonts w:ascii="Calibri" w:hAnsi="Calibri" w:cs="Arial"/>
                <w:b/>
                <w:bCs/>
              </w:rPr>
            </w:pPr>
            <w:r>
              <w:rPr>
                <w:rFonts w:ascii="Calibri" w:hAnsi="Calibri" w:cs="Arial"/>
                <w:b/>
                <w:bCs/>
              </w:rPr>
              <w:t>31</w:t>
            </w:r>
            <w:r w:rsidR="006F52F4">
              <w:rPr>
                <w:rFonts w:ascii="Calibri" w:hAnsi="Calibri" w:cs="Arial"/>
                <w:b/>
                <w:bCs/>
              </w:rPr>
              <w:t xml:space="preserve"> </w:t>
            </w:r>
            <w:r>
              <w:rPr>
                <w:rFonts w:ascii="Calibri" w:hAnsi="Calibri" w:cs="Arial"/>
                <w:b/>
                <w:bCs/>
              </w:rPr>
              <w:t>%</w:t>
            </w:r>
          </w:p>
        </w:tc>
        <w:tc>
          <w:tcPr>
            <w:tcW w:w="1129" w:type="dxa"/>
            <w:tcBorders>
              <w:top w:val="nil"/>
              <w:left w:val="nil"/>
              <w:bottom w:val="nil"/>
              <w:right w:val="nil"/>
            </w:tcBorders>
            <w:shd w:val="clear" w:color="auto" w:fill="auto"/>
            <w:noWrap/>
            <w:vAlign w:val="bottom"/>
          </w:tcPr>
          <w:p w:rsidR="000E49D4" w:rsidRPr="00D90382" w:rsidRDefault="000E49D4" w:rsidP="00D90382">
            <w:pPr>
              <w:rPr>
                <w:rFonts w:ascii="Calibri" w:hAnsi="Calibri" w:cs="Arial"/>
                <w:b/>
                <w:bCs/>
              </w:rPr>
            </w:pPr>
            <w:r>
              <w:rPr>
                <w:rFonts w:ascii="Calibri" w:hAnsi="Calibri" w:cs="Arial"/>
                <w:b/>
                <w:bCs/>
              </w:rPr>
              <w:t>38</w:t>
            </w:r>
            <w:r w:rsidR="006F52F4">
              <w:rPr>
                <w:rFonts w:ascii="Calibri" w:hAnsi="Calibri" w:cs="Arial"/>
                <w:b/>
                <w:bCs/>
              </w:rPr>
              <w:t xml:space="preserve"> </w:t>
            </w:r>
            <w:r>
              <w:rPr>
                <w:rFonts w:ascii="Calibri" w:hAnsi="Calibri" w:cs="Arial"/>
                <w:b/>
                <w:bCs/>
              </w:rPr>
              <w:t>%</w:t>
            </w:r>
          </w:p>
        </w:tc>
        <w:tc>
          <w:tcPr>
            <w:tcW w:w="1134" w:type="dxa"/>
            <w:tcBorders>
              <w:top w:val="nil"/>
              <w:left w:val="nil"/>
              <w:bottom w:val="nil"/>
              <w:right w:val="nil"/>
            </w:tcBorders>
            <w:shd w:val="clear" w:color="auto" w:fill="auto"/>
            <w:noWrap/>
            <w:vAlign w:val="bottom"/>
          </w:tcPr>
          <w:p w:rsidR="000E49D4" w:rsidRPr="00D90382" w:rsidRDefault="006F52F4" w:rsidP="00D90382">
            <w:pPr>
              <w:rPr>
                <w:rFonts w:ascii="Calibri" w:hAnsi="Calibri" w:cs="Arial"/>
                <w:b/>
                <w:bCs/>
              </w:rPr>
            </w:pPr>
            <w:r>
              <w:rPr>
                <w:rFonts w:ascii="Calibri" w:hAnsi="Calibri" w:cs="Arial"/>
                <w:b/>
                <w:bCs/>
              </w:rPr>
              <w:t>45 %</w:t>
            </w:r>
          </w:p>
        </w:tc>
        <w:tc>
          <w:tcPr>
            <w:tcW w:w="886" w:type="dxa"/>
            <w:tcBorders>
              <w:top w:val="nil"/>
              <w:left w:val="nil"/>
              <w:bottom w:val="nil"/>
              <w:right w:val="nil"/>
            </w:tcBorders>
            <w:shd w:val="clear" w:color="auto" w:fill="auto"/>
            <w:noWrap/>
            <w:vAlign w:val="bottom"/>
          </w:tcPr>
          <w:p w:rsidR="000E49D4" w:rsidRPr="00D90382" w:rsidRDefault="000E49D4" w:rsidP="00D90382">
            <w:pPr>
              <w:rPr>
                <w:rFonts w:ascii="Calibri" w:hAnsi="Calibri" w:cs="Arial"/>
                <w:b/>
                <w:bCs/>
              </w:rPr>
            </w:pPr>
            <w:r>
              <w:rPr>
                <w:rFonts w:ascii="Calibri" w:hAnsi="Calibri" w:cs="Arial"/>
                <w:b/>
                <w:bCs/>
              </w:rPr>
              <w:t>30</w:t>
            </w:r>
            <w:r w:rsidR="006F52F4">
              <w:rPr>
                <w:rFonts w:ascii="Calibri" w:hAnsi="Calibri" w:cs="Arial"/>
                <w:b/>
                <w:bCs/>
              </w:rPr>
              <w:t xml:space="preserve"> </w:t>
            </w:r>
            <w:r>
              <w:rPr>
                <w:rFonts w:ascii="Calibri" w:hAnsi="Calibri" w:cs="Arial"/>
                <w:b/>
                <w:bCs/>
              </w:rPr>
              <w:t>%</w:t>
            </w:r>
          </w:p>
        </w:tc>
        <w:tc>
          <w:tcPr>
            <w:tcW w:w="1302" w:type="dxa"/>
            <w:tcBorders>
              <w:top w:val="nil"/>
              <w:left w:val="nil"/>
              <w:bottom w:val="nil"/>
              <w:right w:val="nil"/>
            </w:tcBorders>
            <w:shd w:val="clear" w:color="auto" w:fill="auto"/>
            <w:noWrap/>
            <w:vAlign w:val="bottom"/>
          </w:tcPr>
          <w:p w:rsidR="000E49D4" w:rsidRPr="00D90382" w:rsidRDefault="006F52F4" w:rsidP="00D90382">
            <w:pPr>
              <w:rPr>
                <w:rFonts w:ascii="Calibri" w:hAnsi="Calibri" w:cs="Arial"/>
                <w:b/>
                <w:bCs/>
              </w:rPr>
            </w:pPr>
            <w:r>
              <w:rPr>
                <w:rFonts w:ascii="Calibri" w:hAnsi="Calibri" w:cs="Arial"/>
                <w:b/>
                <w:bCs/>
              </w:rPr>
              <w:t>25 %</w:t>
            </w:r>
          </w:p>
        </w:tc>
        <w:tc>
          <w:tcPr>
            <w:tcW w:w="1302" w:type="dxa"/>
            <w:tcBorders>
              <w:top w:val="nil"/>
              <w:left w:val="nil"/>
              <w:bottom w:val="nil"/>
              <w:right w:val="nil"/>
            </w:tcBorders>
            <w:shd w:val="clear" w:color="auto" w:fill="auto"/>
            <w:noWrap/>
            <w:vAlign w:val="bottom"/>
          </w:tcPr>
          <w:p w:rsidR="000E49D4" w:rsidRPr="00D90382" w:rsidRDefault="006F52F4" w:rsidP="00D90382">
            <w:pPr>
              <w:rPr>
                <w:rFonts w:ascii="Calibri" w:hAnsi="Calibri" w:cs="Arial"/>
                <w:b/>
                <w:bCs/>
              </w:rPr>
            </w:pPr>
            <w:r>
              <w:rPr>
                <w:rFonts w:ascii="Calibri" w:hAnsi="Calibri" w:cs="Arial"/>
                <w:b/>
                <w:bCs/>
              </w:rPr>
              <w:t>54 %</w:t>
            </w:r>
          </w:p>
        </w:tc>
        <w:tc>
          <w:tcPr>
            <w:tcW w:w="862" w:type="dxa"/>
            <w:tcBorders>
              <w:top w:val="nil"/>
              <w:left w:val="nil"/>
              <w:bottom w:val="nil"/>
              <w:right w:val="nil"/>
            </w:tcBorders>
            <w:shd w:val="clear" w:color="auto" w:fill="auto"/>
            <w:noWrap/>
            <w:vAlign w:val="bottom"/>
          </w:tcPr>
          <w:p w:rsidR="000E49D4" w:rsidRPr="00D90382" w:rsidRDefault="006F52F4" w:rsidP="00D90382">
            <w:pPr>
              <w:rPr>
                <w:rFonts w:ascii="Calibri" w:hAnsi="Calibri" w:cs="Arial"/>
                <w:b/>
                <w:bCs/>
              </w:rPr>
            </w:pPr>
            <w:r>
              <w:rPr>
                <w:rFonts w:ascii="Calibri" w:hAnsi="Calibri" w:cs="Arial"/>
                <w:b/>
                <w:bCs/>
              </w:rPr>
              <w:t>19 %</w:t>
            </w:r>
          </w:p>
        </w:tc>
        <w:tc>
          <w:tcPr>
            <w:tcW w:w="846" w:type="dxa"/>
            <w:tcBorders>
              <w:top w:val="nil"/>
              <w:left w:val="nil"/>
              <w:bottom w:val="nil"/>
              <w:right w:val="nil"/>
            </w:tcBorders>
            <w:shd w:val="clear" w:color="auto" w:fill="auto"/>
            <w:noWrap/>
            <w:vAlign w:val="bottom"/>
          </w:tcPr>
          <w:p w:rsidR="000E49D4" w:rsidRPr="00D90382" w:rsidRDefault="006F52F4" w:rsidP="00D90382">
            <w:pPr>
              <w:rPr>
                <w:rFonts w:ascii="Calibri" w:hAnsi="Calibri" w:cs="Arial"/>
                <w:b/>
                <w:bCs/>
              </w:rPr>
            </w:pPr>
            <w:r>
              <w:rPr>
                <w:rFonts w:ascii="Calibri" w:hAnsi="Calibri" w:cs="Arial"/>
                <w:b/>
                <w:bCs/>
              </w:rPr>
              <w:t>10 %</w:t>
            </w:r>
          </w:p>
        </w:tc>
      </w:tr>
    </w:tbl>
    <w:p w:rsidR="002003FD" w:rsidRPr="00D90382" w:rsidRDefault="002003FD" w:rsidP="002003FD">
      <w:pPr>
        <w:pStyle w:val="Brdtext"/>
        <w:ind w:left="426" w:hanging="426"/>
        <w:rPr>
          <w:rFonts w:ascii="Calibri" w:hAnsi="Calibri"/>
          <w:sz w:val="22"/>
          <w:szCs w:val="22"/>
          <w:vertAlign w:val="superscript"/>
        </w:rPr>
      </w:pPr>
    </w:p>
    <w:tbl>
      <w:tblPr>
        <w:tblW w:w="9229" w:type="dxa"/>
        <w:tblInd w:w="55" w:type="dxa"/>
        <w:tblBorders>
          <w:top w:val="dotted" w:sz="4" w:space="0" w:color="FFFFFF"/>
          <w:left w:val="dotted" w:sz="4" w:space="0" w:color="FFFFFF"/>
          <w:bottom w:val="dotted" w:sz="4" w:space="0" w:color="FFFFFF"/>
          <w:right w:val="dotted" w:sz="4" w:space="0" w:color="FFFFFF"/>
          <w:insideH w:val="dotted" w:sz="4" w:space="0" w:color="FFFFFF"/>
          <w:insideV w:val="dotted" w:sz="4" w:space="0" w:color="FFFFFF"/>
        </w:tblBorders>
        <w:tblCellMar>
          <w:left w:w="70" w:type="dxa"/>
          <w:right w:w="70" w:type="dxa"/>
        </w:tblCellMar>
        <w:tblLook w:val="0000"/>
      </w:tblPr>
      <w:tblGrid>
        <w:gridCol w:w="9229"/>
      </w:tblGrid>
      <w:tr w:rsidR="002003FD" w:rsidRPr="00D90382">
        <w:trPr>
          <w:trHeight w:val="255"/>
        </w:trPr>
        <w:tc>
          <w:tcPr>
            <w:tcW w:w="9229" w:type="dxa"/>
            <w:shd w:val="clear" w:color="auto" w:fill="auto"/>
            <w:noWrap/>
            <w:vAlign w:val="bottom"/>
          </w:tcPr>
          <w:p w:rsidR="002003FD" w:rsidRPr="00D90382" w:rsidRDefault="002003FD" w:rsidP="00D90382">
            <w:pPr>
              <w:rPr>
                <w:rFonts w:ascii="Calibri" w:hAnsi="Calibri"/>
                <w:b/>
                <w:bCs/>
                <w:sz w:val="18"/>
                <w:szCs w:val="18"/>
              </w:rPr>
            </w:pPr>
            <w:r w:rsidRPr="00D90382">
              <w:rPr>
                <w:rFonts w:ascii="Calibri" w:hAnsi="Calibri"/>
                <w:b/>
                <w:bCs/>
                <w:sz w:val="18"/>
                <w:szCs w:val="18"/>
              </w:rPr>
              <w:t>Att notera:</w:t>
            </w:r>
          </w:p>
        </w:tc>
      </w:tr>
      <w:tr w:rsidR="002003FD" w:rsidRPr="00D90382">
        <w:trPr>
          <w:trHeight w:val="227"/>
        </w:trPr>
        <w:tc>
          <w:tcPr>
            <w:tcW w:w="9229" w:type="dxa"/>
            <w:shd w:val="clear" w:color="auto" w:fill="auto"/>
            <w:noWrap/>
            <w:vAlign w:val="bottom"/>
          </w:tcPr>
          <w:p w:rsidR="002003FD" w:rsidRPr="00D90382" w:rsidRDefault="002003FD" w:rsidP="00D90382">
            <w:pPr>
              <w:rPr>
                <w:rFonts w:ascii="Calibri" w:hAnsi="Calibri"/>
                <w:i/>
                <w:iCs/>
                <w:sz w:val="18"/>
                <w:szCs w:val="18"/>
              </w:rPr>
            </w:pPr>
            <w:r w:rsidRPr="00D90382">
              <w:rPr>
                <w:rFonts w:ascii="Calibri" w:hAnsi="Calibri"/>
                <w:i/>
                <w:iCs/>
                <w:sz w:val="18"/>
                <w:szCs w:val="18"/>
                <w:vertAlign w:val="superscript"/>
              </w:rPr>
              <w:t>1)</w:t>
            </w:r>
            <w:r w:rsidRPr="00D90382">
              <w:rPr>
                <w:rFonts w:ascii="Calibri" w:hAnsi="Calibri"/>
                <w:i/>
                <w:iCs/>
                <w:sz w:val="18"/>
                <w:szCs w:val="18"/>
              </w:rPr>
              <w:t xml:space="preserve"> Fr.o.m. den 1 december 2001 ingår brandskyddskontroll som obligatorisk del vid kontrollbesiktning av buss.</w:t>
            </w:r>
          </w:p>
        </w:tc>
      </w:tr>
      <w:tr w:rsidR="002003FD" w:rsidRPr="00D90382">
        <w:trPr>
          <w:trHeight w:val="227"/>
        </w:trPr>
        <w:tc>
          <w:tcPr>
            <w:tcW w:w="9229" w:type="dxa"/>
            <w:shd w:val="clear" w:color="auto" w:fill="auto"/>
            <w:noWrap/>
            <w:vAlign w:val="bottom"/>
          </w:tcPr>
          <w:p w:rsidR="002003FD" w:rsidRPr="00D90382" w:rsidRDefault="002003FD" w:rsidP="00D90382">
            <w:pPr>
              <w:rPr>
                <w:rFonts w:ascii="Calibri" w:hAnsi="Calibri"/>
                <w:i/>
                <w:iCs/>
                <w:sz w:val="18"/>
                <w:szCs w:val="18"/>
              </w:rPr>
            </w:pPr>
            <w:r w:rsidRPr="00D90382">
              <w:rPr>
                <w:rFonts w:ascii="Calibri" w:hAnsi="Calibri"/>
                <w:i/>
                <w:iCs/>
                <w:sz w:val="18"/>
                <w:szCs w:val="18"/>
                <w:vertAlign w:val="superscript"/>
              </w:rPr>
              <w:t>2</w:t>
            </w:r>
            <w:r w:rsidRPr="00D90382">
              <w:rPr>
                <w:rFonts w:ascii="Calibri" w:hAnsi="Calibri"/>
                <w:i/>
                <w:iCs/>
                <w:spacing w:val="-18"/>
                <w:sz w:val="18"/>
                <w:szCs w:val="18"/>
                <w:vertAlign w:val="superscript"/>
              </w:rPr>
              <w:t>)</w:t>
            </w:r>
            <w:r w:rsidRPr="00D90382">
              <w:rPr>
                <w:rFonts w:ascii="Calibri" w:hAnsi="Calibri"/>
                <w:i/>
                <w:iCs/>
                <w:spacing w:val="-18"/>
                <w:sz w:val="18"/>
                <w:szCs w:val="18"/>
              </w:rPr>
              <w:t xml:space="preserve"> Den 1</w:t>
            </w:r>
            <w:r w:rsidRPr="00D90382">
              <w:rPr>
                <w:rFonts w:ascii="Calibri" w:hAnsi="Calibri"/>
                <w:i/>
                <w:iCs/>
                <w:spacing w:val="-6"/>
                <w:sz w:val="18"/>
                <w:szCs w:val="18"/>
              </w:rPr>
              <w:t xml:space="preserve"> oktober 2002 -28 april 2009 ingick kontroll av gasinstallationen som obligatorisk del vid kontrollbesiktning av husvagn och husbil</w:t>
            </w:r>
          </w:p>
        </w:tc>
      </w:tr>
    </w:tbl>
    <w:p w:rsidR="00172566" w:rsidRPr="00D90382" w:rsidRDefault="00172566" w:rsidP="00172566">
      <w:pPr>
        <w:pStyle w:val="Brdtext"/>
        <w:rPr>
          <w:rFonts w:ascii="Calibri" w:hAnsi="Calibri"/>
          <w:b/>
          <w:sz w:val="22"/>
          <w:szCs w:val="22"/>
        </w:rPr>
      </w:pPr>
    </w:p>
    <w:p w:rsidR="00172566" w:rsidRPr="00D90382" w:rsidRDefault="00172566" w:rsidP="00172566">
      <w:pPr>
        <w:pStyle w:val="Brdtext"/>
        <w:rPr>
          <w:rFonts w:ascii="Calibri" w:hAnsi="Calibri"/>
          <w:b/>
          <w:sz w:val="22"/>
          <w:szCs w:val="22"/>
        </w:rPr>
      </w:pPr>
    </w:p>
    <w:p w:rsidR="00172566" w:rsidRPr="00D90382" w:rsidRDefault="004E7E86" w:rsidP="00172566">
      <w:pPr>
        <w:tabs>
          <w:tab w:val="left" w:pos="7515"/>
        </w:tabs>
        <w:rPr>
          <w:rFonts w:ascii="Arial" w:hAnsi="Arial" w:cs="Arial"/>
          <w:b/>
        </w:rPr>
      </w:pPr>
      <w:r>
        <w:rPr>
          <w:rFonts w:ascii="Arial" w:hAnsi="Arial" w:cs="Arial"/>
          <w:b/>
        </w:rPr>
        <w:t>Kommentarer till 2012</w:t>
      </w:r>
      <w:r w:rsidR="00172566" w:rsidRPr="00D90382">
        <w:rPr>
          <w:rFonts w:ascii="Arial" w:hAnsi="Arial" w:cs="Arial"/>
          <w:b/>
        </w:rPr>
        <w:t xml:space="preserve"> års kontrollbesiktningar per fordonsslag och länsvis</w:t>
      </w:r>
    </w:p>
    <w:p w:rsidR="00172566" w:rsidRPr="00D90382" w:rsidRDefault="00172566" w:rsidP="00172566">
      <w:pPr>
        <w:pStyle w:val="Brdtext"/>
        <w:rPr>
          <w:rFonts w:ascii="Calibri" w:hAnsi="Calibri"/>
          <w:b/>
          <w:sz w:val="22"/>
          <w:szCs w:val="22"/>
        </w:rPr>
      </w:pPr>
    </w:p>
    <w:p w:rsidR="00713D4E" w:rsidRPr="00D90382" w:rsidRDefault="00202766" w:rsidP="00202766">
      <w:pPr>
        <w:tabs>
          <w:tab w:val="left" w:pos="7515"/>
        </w:tabs>
        <w:rPr>
          <w:rFonts w:ascii="Calibri" w:hAnsi="Calibri"/>
          <w:sz w:val="22"/>
          <w:szCs w:val="22"/>
        </w:rPr>
      </w:pPr>
      <w:r w:rsidRPr="00D90382">
        <w:rPr>
          <w:rFonts w:ascii="Calibri" w:hAnsi="Calibri"/>
          <w:b/>
          <w:sz w:val="22"/>
          <w:szCs w:val="22"/>
          <w:lang w:eastAsia="sv-SE"/>
        </w:rPr>
        <w:t>Personbilar</w:t>
      </w:r>
      <w:r w:rsidRPr="00D90382">
        <w:rPr>
          <w:rFonts w:ascii="Calibri" w:hAnsi="Calibri"/>
          <w:b/>
          <w:sz w:val="22"/>
          <w:szCs w:val="22"/>
          <w:lang w:eastAsia="sv-SE"/>
        </w:rPr>
        <w:tab/>
      </w:r>
      <w:r w:rsidR="00FF5423" w:rsidRPr="00295F4A">
        <w:rPr>
          <w:rFonts w:ascii="Calibri" w:hAnsi="Calibri"/>
          <w:b/>
          <w:sz w:val="22"/>
          <w:szCs w:val="22"/>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75pt">
            <v:imagedata r:id="rId4" r:href="rId5"/>
          </v:shape>
        </w:pict>
      </w:r>
      <w:r w:rsidRPr="00D90382">
        <w:rPr>
          <w:rFonts w:ascii="Calibri" w:hAnsi="Calibri"/>
          <w:sz w:val="22"/>
          <w:szCs w:val="22"/>
          <w:lang w:eastAsia="sv-SE"/>
        </w:rPr>
        <w:br/>
      </w:r>
      <w:r w:rsidR="00713D4E" w:rsidRPr="00D90382">
        <w:rPr>
          <w:rFonts w:ascii="Calibri" w:hAnsi="Calibri"/>
          <w:sz w:val="22"/>
          <w:szCs w:val="22"/>
        </w:rPr>
        <w:t xml:space="preserve">Personbilar besiktas första gången när bilen är tre år </w:t>
      </w:r>
      <w:r w:rsidR="004E7E86">
        <w:rPr>
          <w:rFonts w:ascii="Calibri" w:hAnsi="Calibri"/>
          <w:sz w:val="22"/>
          <w:szCs w:val="22"/>
        </w:rPr>
        <w:t xml:space="preserve">gammal </w:t>
      </w:r>
      <w:r w:rsidR="00713D4E" w:rsidRPr="00D90382">
        <w:rPr>
          <w:rFonts w:ascii="Calibri" w:hAnsi="Calibri"/>
          <w:sz w:val="22"/>
          <w:szCs w:val="22"/>
        </w:rPr>
        <w:t xml:space="preserve">och andra </w:t>
      </w:r>
      <w:r w:rsidR="004E7E86">
        <w:rPr>
          <w:rFonts w:ascii="Calibri" w:hAnsi="Calibri"/>
          <w:sz w:val="22"/>
          <w:szCs w:val="22"/>
        </w:rPr>
        <w:t>gången när bilen är fem år</w:t>
      </w:r>
      <w:r w:rsidR="00713D4E" w:rsidRPr="00D90382">
        <w:rPr>
          <w:rFonts w:ascii="Calibri" w:hAnsi="Calibri"/>
          <w:sz w:val="22"/>
          <w:szCs w:val="22"/>
        </w:rPr>
        <w:t xml:space="preserve">. Därefter besiktas bilen </w:t>
      </w:r>
      <w:r w:rsidR="004E7E86">
        <w:rPr>
          <w:rFonts w:ascii="Calibri" w:hAnsi="Calibri"/>
          <w:sz w:val="22"/>
          <w:szCs w:val="22"/>
        </w:rPr>
        <w:t>årligen</w:t>
      </w:r>
      <w:r w:rsidR="00713D4E" w:rsidRPr="00D90382">
        <w:rPr>
          <w:rFonts w:ascii="Calibri" w:hAnsi="Calibri"/>
          <w:sz w:val="22"/>
          <w:szCs w:val="22"/>
        </w:rPr>
        <w:t>.</w:t>
      </w:r>
      <w:r w:rsidR="007C2A9E" w:rsidRPr="00D90382">
        <w:rPr>
          <w:rFonts w:ascii="Calibri" w:hAnsi="Calibri"/>
          <w:sz w:val="22"/>
          <w:szCs w:val="22"/>
        </w:rPr>
        <w:t xml:space="preserve"> </w:t>
      </w:r>
    </w:p>
    <w:p w:rsidR="00713D4E" w:rsidRPr="00D90382" w:rsidRDefault="00713D4E" w:rsidP="00202766">
      <w:pPr>
        <w:tabs>
          <w:tab w:val="left" w:pos="7515"/>
        </w:tabs>
        <w:rPr>
          <w:rFonts w:ascii="Calibri" w:hAnsi="Calibri"/>
          <w:sz w:val="22"/>
          <w:szCs w:val="22"/>
          <w:lang w:eastAsia="sv-SE"/>
        </w:rPr>
      </w:pPr>
    </w:p>
    <w:p w:rsidR="00202766" w:rsidRPr="00D90382" w:rsidRDefault="00202766" w:rsidP="00202766">
      <w:pPr>
        <w:tabs>
          <w:tab w:val="left" w:pos="7515"/>
        </w:tabs>
        <w:rPr>
          <w:rFonts w:ascii="Calibri" w:hAnsi="Calibri"/>
          <w:b/>
          <w:sz w:val="22"/>
          <w:szCs w:val="22"/>
          <w:lang w:eastAsia="sv-SE"/>
        </w:rPr>
      </w:pPr>
      <w:r w:rsidRPr="00D90382">
        <w:rPr>
          <w:rFonts w:ascii="Calibri" w:hAnsi="Calibri"/>
          <w:sz w:val="22"/>
          <w:szCs w:val="22"/>
          <w:lang w:eastAsia="sv-SE"/>
        </w:rPr>
        <w:t>Bilprovningen kontrollbesiktade 3</w:t>
      </w:r>
      <w:r w:rsidR="004E7E86">
        <w:rPr>
          <w:rFonts w:ascii="Calibri" w:hAnsi="Calibri"/>
          <w:sz w:val="22"/>
          <w:szCs w:val="22"/>
          <w:lang w:eastAsia="sv-SE"/>
        </w:rPr>
        <w:t> 152 136</w:t>
      </w:r>
      <w:r w:rsidRPr="00D90382">
        <w:rPr>
          <w:rFonts w:ascii="Calibri" w:hAnsi="Calibri"/>
          <w:sz w:val="22"/>
          <w:szCs w:val="22"/>
          <w:lang w:eastAsia="sv-SE"/>
        </w:rPr>
        <w:t xml:space="preserve"> (</w:t>
      </w:r>
      <w:r w:rsidRPr="00D90382">
        <w:rPr>
          <w:rFonts w:ascii="Calibri" w:hAnsi="Calibri"/>
          <w:sz w:val="22"/>
          <w:szCs w:val="22"/>
        </w:rPr>
        <w:t>3</w:t>
      </w:r>
      <w:r w:rsidR="004E7E86">
        <w:rPr>
          <w:rFonts w:ascii="Calibri" w:hAnsi="Calibri"/>
          <w:sz w:val="22"/>
          <w:szCs w:val="22"/>
        </w:rPr>
        <w:t> 450 061</w:t>
      </w:r>
      <w:r w:rsidRPr="00D90382">
        <w:rPr>
          <w:rFonts w:ascii="Calibri" w:hAnsi="Calibri"/>
          <w:sz w:val="22"/>
          <w:szCs w:val="22"/>
        </w:rPr>
        <w:t>)</w:t>
      </w:r>
      <w:r w:rsidR="004E7E86">
        <w:rPr>
          <w:rFonts w:ascii="Calibri" w:hAnsi="Calibri"/>
          <w:sz w:val="22"/>
          <w:szCs w:val="22"/>
          <w:lang w:eastAsia="sv-SE"/>
        </w:rPr>
        <w:t xml:space="preserve"> personbilar. 53 (52</w:t>
      </w:r>
      <w:r w:rsidRPr="00D90382">
        <w:rPr>
          <w:rFonts w:ascii="Calibri" w:hAnsi="Calibri"/>
          <w:sz w:val="22"/>
          <w:szCs w:val="22"/>
          <w:lang w:eastAsia="sv-SE"/>
        </w:rPr>
        <w:t>)</w:t>
      </w:r>
      <w:r w:rsidR="00F13101" w:rsidRPr="00D90382">
        <w:rPr>
          <w:rFonts w:ascii="Calibri" w:hAnsi="Calibri"/>
          <w:sz w:val="22"/>
          <w:szCs w:val="22"/>
          <w:lang w:eastAsia="sv-SE"/>
        </w:rPr>
        <w:t xml:space="preserve"> procent godkändes utan </w:t>
      </w:r>
      <w:r w:rsidRPr="00D90382">
        <w:rPr>
          <w:rFonts w:ascii="Calibri" w:hAnsi="Calibri"/>
          <w:sz w:val="22"/>
          <w:szCs w:val="22"/>
          <w:lang w:eastAsia="sv-SE"/>
        </w:rPr>
        <w:t>anmärkning. Den vanligaste anledningen till underkännande var brister i kommunikationssystem (strålkastare, lyktor</w:t>
      </w:r>
      <w:r w:rsidR="00FC32F7">
        <w:rPr>
          <w:rFonts w:ascii="Calibri" w:hAnsi="Calibri"/>
          <w:sz w:val="22"/>
          <w:szCs w:val="22"/>
          <w:lang w:eastAsia="sv-SE"/>
        </w:rPr>
        <w:t xml:space="preserve">, </w:t>
      </w:r>
      <w:r w:rsidRPr="00D90382">
        <w:rPr>
          <w:rFonts w:ascii="Calibri" w:hAnsi="Calibri"/>
          <w:sz w:val="22"/>
          <w:szCs w:val="22"/>
          <w:lang w:eastAsia="sv-SE"/>
        </w:rPr>
        <w:t>signalanordningar</w:t>
      </w:r>
      <w:r w:rsidR="00FC32F7">
        <w:rPr>
          <w:rFonts w:ascii="Calibri" w:hAnsi="Calibri"/>
          <w:sz w:val="22"/>
          <w:szCs w:val="22"/>
          <w:lang w:eastAsia="sv-SE"/>
        </w:rPr>
        <w:t xml:space="preserve"> eller varningstriangel</w:t>
      </w:r>
      <w:r w:rsidRPr="00D90382">
        <w:rPr>
          <w:rFonts w:ascii="Calibri" w:hAnsi="Calibri"/>
          <w:sz w:val="22"/>
          <w:szCs w:val="22"/>
          <w:lang w:eastAsia="sv-SE"/>
        </w:rPr>
        <w:t>).</w:t>
      </w:r>
    </w:p>
    <w:p w:rsidR="00202766" w:rsidRPr="00D90382" w:rsidRDefault="00202766" w:rsidP="00202766">
      <w:pPr>
        <w:tabs>
          <w:tab w:val="left" w:pos="7515"/>
        </w:tabs>
        <w:rPr>
          <w:rFonts w:ascii="Calibri" w:hAnsi="Calibri"/>
          <w:sz w:val="22"/>
          <w:szCs w:val="22"/>
          <w:lang w:eastAsia="sv-SE"/>
        </w:rPr>
      </w:pPr>
    </w:p>
    <w:p w:rsidR="00202766" w:rsidRPr="00D90382" w:rsidRDefault="00202766" w:rsidP="00202766">
      <w:pPr>
        <w:tabs>
          <w:tab w:val="left" w:pos="7515"/>
        </w:tabs>
        <w:rPr>
          <w:rFonts w:ascii="Calibri" w:hAnsi="Calibri"/>
          <w:sz w:val="22"/>
          <w:szCs w:val="22"/>
        </w:rPr>
      </w:pPr>
      <w:r w:rsidRPr="00D90382">
        <w:rPr>
          <w:rFonts w:ascii="Calibri" w:hAnsi="Calibri"/>
          <w:sz w:val="22"/>
          <w:szCs w:val="22"/>
          <w:lang w:eastAsia="sv-SE"/>
        </w:rPr>
        <w:t>Högsta andelen godkända personbilar hade Gotlands</w:t>
      </w:r>
      <w:r w:rsidR="004E7E86">
        <w:rPr>
          <w:rFonts w:ascii="Calibri" w:hAnsi="Calibri"/>
          <w:sz w:val="22"/>
          <w:szCs w:val="22"/>
          <w:lang w:eastAsia="sv-SE"/>
        </w:rPr>
        <w:t xml:space="preserve"> län med 59</w:t>
      </w:r>
      <w:r w:rsidRPr="00D90382">
        <w:rPr>
          <w:rFonts w:ascii="Calibri" w:hAnsi="Calibri"/>
          <w:sz w:val="22"/>
          <w:szCs w:val="22"/>
          <w:lang w:eastAsia="sv-SE"/>
        </w:rPr>
        <w:t xml:space="preserve"> procent. </w:t>
      </w:r>
      <w:r w:rsidRPr="00D90382">
        <w:rPr>
          <w:rFonts w:ascii="Calibri" w:hAnsi="Calibri"/>
          <w:sz w:val="22"/>
          <w:szCs w:val="22"/>
        </w:rPr>
        <w:t xml:space="preserve">Lägsta andelen godkända hade </w:t>
      </w:r>
      <w:r w:rsidR="004E7E86">
        <w:rPr>
          <w:rFonts w:ascii="Calibri" w:hAnsi="Calibri"/>
          <w:sz w:val="22"/>
          <w:szCs w:val="22"/>
        </w:rPr>
        <w:t>Västernorrlands, Värmlands och Södermanlands län med 49</w:t>
      </w:r>
      <w:r w:rsidRPr="00D90382">
        <w:rPr>
          <w:rFonts w:ascii="Calibri" w:hAnsi="Calibri"/>
          <w:sz w:val="22"/>
          <w:szCs w:val="22"/>
        </w:rPr>
        <w:t xml:space="preserve"> procent.  </w:t>
      </w:r>
    </w:p>
    <w:p w:rsidR="00202766" w:rsidRPr="00D90382" w:rsidRDefault="00202766" w:rsidP="00202766">
      <w:pPr>
        <w:tabs>
          <w:tab w:val="left" w:pos="7515"/>
        </w:tabs>
        <w:rPr>
          <w:rFonts w:ascii="Calibri" w:hAnsi="Calibri"/>
          <w:sz w:val="22"/>
          <w:szCs w:val="22"/>
        </w:rPr>
      </w:pPr>
    </w:p>
    <w:p w:rsidR="00202766" w:rsidRPr="00D90382" w:rsidRDefault="00202766" w:rsidP="00202766">
      <w:pPr>
        <w:tabs>
          <w:tab w:val="left" w:pos="7515"/>
        </w:tabs>
        <w:rPr>
          <w:rFonts w:ascii="Calibri" w:hAnsi="Calibri"/>
          <w:sz w:val="22"/>
          <w:szCs w:val="22"/>
          <w:lang w:eastAsia="sv-SE"/>
        </w:rPr>
      </w:pPr>
      <w:r w:rsidRPr="00D90382">
        <w:rPr>
          <w:rFonts w:ascii="Calibri" w:hAnsi="Calibri"/>
          <w:sz w:val="22"/>
          <w:szCs w:val="22"/>
          <w:lang w:eastAsia="sv-SE"/>
        </w:rPr>
        <w:t>Sedan 2000 har andelen underkända med krav på efterkontroll minsk</w:t>
      </w:r>
      <w:r w:rsidR="00F20E81">
        <w:rPr>
          <w:rFonts w:ascii="Calibri" w:hAnsi="Calibri"/>
          <w:sz w:val="22"/>
          <w:szCs w:val="22"/>
          <w:lang w:eastAsia="sv-SE"/>
        </w:rPr>
        <w:t>at från 35 till 31 procent</w:t>
      </w:r>
      <w:r w:rsidRPr="00D90382">
        <w:rPr>
          <w:rFonts w:ascii="Calibri" w:hAnsi="Calibri"/>
          <w:sz w:val="22"/>
          <w:szCs w:val="22"/>
          <w:lang w:eastAsia="sv-SE"/>
        </w:rPr>
        <w:t>. Nedgången beror delvis på att fordonsparken föryngrats. Dessutom har bilarna blivit bättre.</w:t>
      </w:r>
    </w:p>
    <w:p w:rsidR="00202766" w:rsidRPr="00D90382" w:rsidRDefault="00202766" w:rsidP="00202766">
      <w:pPr>
        <w:tabs>
          <w:tab w:val="left" w:pos="7515"/>
        </w:tabs>
        <w:rPr>
          <w:rFonts w:ascii="Calibri" w:hAnsi="Calibri"/>
          <w:sz w:val="22"/>
          <w:szCs w:val="22"/>
          <w:lang w:eastAsia="sv-SE"/>
        </w:rPr>
      </w:pPr>
    </w:p>
    <w:p w:rsidR="00202766" w:rsidRPr="00D90382" w:rsidRDefault="00202766" w:rsidP="00202766">
      <w:pPr>
        <w:tabs>
          <w:tab w:val="left" w:pos="7515"/>
        </w:tabs>
        <w:rPr>
          <w:rFonts w:ascii="Calibri" w:hAnsi="Calibri"/>
          <w:sz w:val="22"/>
          <w:szCs w:val="22"/>
          <w:lang w:eastAsia="sv-SE"/>
        </w:rPr>
      </w:pPr>
      <w:r w:rsidRPr="00D90382">
        <w:rPr>
          <w:rFonts w:ascii="Calibri" w:hAnsi="Calibri"/>
          <w:sz w:val="22"/>
          <w:szCs w:val="22"/>
          <w:lang w:eastAsia="sv-SE"/>
        </w:rPr>
        <w:t>Den enskilt största orsaken</w:t>
      </w:r>
      <w:r w:rsidR="00333F01" w:rsidRPr="00D90382">
        <w:rPr>
          <w:rFonts w:ascii="Calibri" w:hAnsi="Calibri"/>
          <w:sz w:val="22"/>
          <w:szCs w:val="22"/>
          <w:lang w:eastAsia="sv-SE"/>
        </w:rPr>
        <w:t xml:space="preserve"> (</w:t>
      </w:r>
      <w:r w:rsidR="0096316A" w:rsidRPr="0096316A">
        <w:rPr>
          <w:rFonts w:ascii="Calibri" w:hAnsi="Calibri"/>
          <w:sz w:val="22"/>
          <w:szCs w:val="22"/>
          <w:lang w:eastAsia="sv-SE"/>
        </w:rPr>
        <w:t>16</w:t>
      </w:r>
      <w:r w:rsidR="00333F01" w:rsidRPr="0096316A">
        <w:rPr>
          <w:rFonts w:ascii="Calibri" w:hAnsi="Calibri"/>
          <w:sz w:val="22"/>
          <w:szCs w:val="22"/>
          <w:lang w:eastAsia="sv-SE"/>
        </w:rPr>
        <w:t xml:space="preserve"> </w:t>
      </w:r>
      <w:r w:rsidR="00333F01" w:rsidRPr="00D90382">
        <w:rPr>
          <w:rFonts w:ascii="Calibri" w:hAnsi="Calibri"/>
          <w:sz w:val="22"/>
          <w:szCs w:val="22"/>
          <w:lang w:eastAsia="sv-SE"/>
        </w:rPr>
        <w:t>procent)</w:t>
      </w:r>
      <w:r w:rsidRPr="00D90382">
        <w:rPr>
          <w:rFonts w:ascii="Calibri" w:hAnsi="Calibri"/>
          <w:sz w:val="22"/>
          <w:szCs w:val="22"/>
          <w:lang w:eastAsia="sv-SE"/>
        </w:rPr>
        <w:t xml:space="preserve"> till underkännande med krav på efterkontroll var anmärkningar mot komponenter i bromssystemet. Det rör sig främst om anmärkningar på grund av ojämn bromsverkan, brister i komponenter som tillhör hjulbromsen (bromsskivor, bromsbelägg), otillräcklig bromsverkan på parkeringsbromsen och skadade bromsledningar.</w:t>
      </w:r>
    </w:p>
    <w:p w:rsidR="00202766" w:rsidRPr="00D90382" w:rsidRDefault="00202766" w:rsidP="00202766">
      <w:pPr>
        <w:tabs>
          <w:tab w:val="left" w:pos="7515"/>
        </w:tabs>
        <w:rPr>
          <w:rFonts w:ascii="Calibri" w:hAnsi="Calibri"/>
          <w:sz w:val="22"/>
          <w:szCs w:val="22"/>
          <w:lang w:eastAsia="sv-SE"/>
        </w:rPr>
      </w:pPr>
    </w:p>
    <w:p w:rsidR="00202766" w:rsidRPr="00D90382" w:rsidRDefault="00202766" w:rsidP="00202766">
      <w:pPr>
        <w:tabs>
          <w:tab w:val="left" w:pos="7515"/>
        </w:tabs>
        <w:rPr>
          <w:rFonts w:ascii="Calibri" w:hAnsi="Calibri"/>
          <w:sz w:val="22"/>
          <w:szCs w:val="22"/>
        </w:rPr>
      </w:pPr>
      <w:r w:rsidRPr="00D90382">
        <w:rPr>
          <w:rFonts w:ascii="Calibri" w:hAnsi="Calibri"/>
          <w:sz w:val="22"/>
          <w:szCs w:val="22"/>
        </w:rPr>
        <w:t>Vi</w:t>
      </w:r>
      <w:r w:rsidR="006A3731">
        <w:rPr>
          <w:rFonts w:ascii="Calibri" w:hAnsi="Calibri"/>
          <w:sz w:val="22"/>
          <w:szCs w:val="22"/>
        </w:rPr>
        <w:t>d efterkontrollen underkändes 11</w:t>
      </w:r>
      <w:r w:rsidRPr="00D90382">
        <w:rPr>
          <w:rFonts w:ascii="Calibri" w:hAnsi="Calibri"/>
          <w:sz w:val="22"/>
          <w:szCs w:val="22"/>
        </w:rPr>
        <w:t xml:space="preserve"> (11) procent.</w:t>
      </w:r>
    </w:p>
    <w:p w:rsidR="009C26B2" w:rsidRPr="00D90382" w:rsidRDefault="009C26B2" w:rsidP="00172566">
      <w:pPr>
        <w:tabs>
          <w:tab w:val="left" w:pos="7515"/>
        </w:tabs>
        <w:rPr>
          <w:rFonts w:ascii="Calibri" w:hAnsi="Calibri"/>
          <w:sz w:val="22"/>
          <w:szCs w:val="22"/>
          <w:lang w:eastAsia="sv-SE"/>
        </w:rPr>
      </w:pPr>
    </w:p>
    <w:p w:rsidR="00AB0461" w:rsidRPr="00D90382" w:rsidRDefault="00172566" w:rsidP="00172566">
      <w:pPr>
        <w:tabs>
          <w:tab w:val="left" w:pos="7515"/>
        </w:tabs>
        <w:rPr>
          <w:rFonts w:ascii="Calibri" w:hAnsi="Calibri"/>
          <w:b/>
          <w:sz w:val="22"/>
          <w:szCs w:val="22"/>
          <w:lang w:eastAsia="sv-SE"/>
        </w:rPr>
      </w:pPr>
      <w:r w:rsidRPr="00D90382">
        <w:rPr>
          <w:rFonts w:ascii="Calibri" w:hAnsi="Calibri"/>
          <w:b/>
          <w:sz w:val="22"/>
          <w:szCs w:val="22"/>
          <w:lang w:eastAsia="sv-SE"/>
        </w:rPr>
        <w:t>L</w:t>
      </w:r>
      <w:r w:rsidR="00AB0461" w:rsidRPr="00D90382">
        <w:rPr>
          <w:rFonts w:ascii="Calibri" w:hAnsi="Calibri"/>
          <w:b/>
          <w:sz w:val="22"/>
          <w:szCs w:val="22"/>
          <w:lang w:eastAsia="sv-SE"/>
        </w:rPr>
        <w:t>ätta lastbilar</w:t>
      </w:r>
    </w:p>
    <w:p w:rsidR="00713D4E" w:rsidRPr="00D90382" w:rsidRDefault="00713D4E" w:rsidP="00333F01">
      <w:pPr>
        <w:rPr>
          <w:rFonts w:ascii="Calibri" w:hAnsi="Calibri"/>
          <w:sz w:val="22"/>
          <w:szCs w:val="22"/>
        </w:rPr>
      </w:pPr>
      <w:r w:rsidRPr="00D90382">
        <w:rPr>
          <w:rFonts w:ascii="Calibri" w:hAnsi="Calibri"/>
          <w:sz w:val="22"/>
          <w:szCs w:val="22"/>
        </w:rPr>
        <w:t xml:space="preserve">Lätta lastbilar besiktas första gången när lastbilen är tre år och andra gången när den är fem år gammal. Därefter besiktas lastbilen </w:t>
      </w:r>
      <w:r w:rsidR="004E7E86">
        <w:rPr>
          <w:rFonts w:ascii="Calibri" w:hAnsi="Calibri"/>
          <w:sz w:val="22"/>
          <w:szCs w:val="22"/>
        </w:rPr>
        <w:t>årligen.</w:t>
      </w:r>
    </w:p>
    <w:p w:rsidR="00713D4E" w:rsidRPr="00D90382" w:rsidRDefault="00713D4E" w:rsidP="00333F01">
      <w:pPr>
        <w:rPr>
          <w:rFonts w:ascii="Calibri" w:hAnsi="Calibri"/>
          <w:sz w:val="22"/>
          <w:szCs w:val="22"/>
        </w:rPr>
      </w:pPr>
    </w:p>
    <w:p w:rsidR="00333F01" w:rsidRPr="00D90382" w:rsidRDefault="00333F01" w:rsidP="00333F01">
      <w:pPr>
        <w:rPr>
          <w:rFonts w:ascii="Calibri" w:hAnsi="Calibri"/>
          <w:sz w:val="22"/>
          <w:szCs w:val="22"/>
        </w:rPr>
      </w:pPr>
      <w:r w:rsidRPr="00D90382">
        <w:rPr>
          <w:rFonts w:ascii="Calibri" w:hAnsi="Calibri"/>
          <w:sz w:val="22"/>
          <w:szCs w:val="22"/>
        </w:rPr>
        <w:t xml:space="preserve">Bilprovningen kontrollbesiktade </w:t>
      </w:r>
      <w:r w:rsidR="004E7E86">
        <w:rPr>
          <w:rFonts w:ascii="Calibri" w:hAnsi="Calibri"/>
          <w:sz w:val="22"/>
          <w:szCs w:val="22"/>
        </w:rPr>
        <w:t>296 435</w:t>
      </w:r>
      <w:r w:rsidRPr="00D90382">
        <w:rPr>
          <w:rFonts w:ascii="Calibri" w:hAnsi="Calibri"/>
          <w:sz w:val="22"/>
          <w:szCs w:val="22"/>
        </w:rPr>
        <w:t xml:space="preserve"> (</w:t>
      </w:r>
      <w:r w:rsidR="004E7E86">
        <w:rPr>
          <w:rFonts w:ascii="Calibri" w:hAnsi="Calibri"/>
          <w:sz w:val="22"/>
          <w:szCs w:val="22"/>
        </w:rPr>
        <w:t>325 051) lätta lastbilar. 43 (43</w:t>
      </w:r>
      <w:r w:rsidRPr="00D90382">
        <w:rPr>
          <w:rFonts w:ascii="Calibri" w:hAnsi="Calibri"/>
          <w:sz w:val="22"/>
          <w:szCs w:val="22"/>
        </w:rPr>
        <w:t>) procent godkändes utan anmärkning. Det är 10 procentenheter lägre än för personbilarna. Många l</w:t>
      </w:r>
      <w:r w:rsidR="00F034DB" w:rsidRPr="00D90382">
        <w:rPr>
          <w:rFonts w:ascii="Calibri" w:hAnsi="Calibri"/>
          <w:sz w:val="22"/>
          <w:szCs w:val="22"/>
        </w:rPr>
        <w:t xml:space="preserve">ätta lastbilar har ett </w:t>
      </w:r>
      <w:r w:rsidRPr="00D90382">
        <w:rPr>
          <w:rFonts w:ascii="Calibri" w:hAnsi="Calibri"/>
          <w:sz w:val="22"/>
          <w:szCs w:val="22"/>
        </w:rPr>
        <w:t>användningsmönster som skiljer</w:t>
      </w:r>
      <w:r w:rsidR="00F034DB" w:rsidRPr="00D90382">
        <w:rPr>
          <w:rFonts w:ascii="Calibri" w:hAnsi="Calibri"/>
          <w:sz w:val="22"/>
          <w:szCs w:val="22"/>
        </w:rPr>
        <w:t xml:space="preserve"> sig</w:t>
      </w:r>
      <w:r w:rsidRPr="00D90382">
        <w:rPr>
          <w:rFonts w:ascii="Calibri" w:hAnsi="Calibri"/>
          <w:sz w:val="22"/>
          <w:szCs w:val="22"/>
        </w:rPr>
        <w:t xml:space="preserve"> jämfört med personbilar. De har även </w:t>
      </w:r>
      <w:r w:rsidR="004E7E86">
        <w:rPr>
          <w:rFonts w:ascii="Calibri" w:hAnsi="Calibri"/>
          <w:sz w:val="22"/>
          <w:szCs w:val="22"/>
        </w:rPr>
        <w:t>i genomsnitt längre årlig körsträcka</w:t>
      </w:r>
      <w:r w:rsidRPr="00D90382">
        <w:rPr>
          <w:rFonts w:ascii="Calibri" w:hAnsi="Calibri"/>
          <w:sz w:val="22"/>
          <w:szCs w:val="22"/>
        </w:rPr>
        <w:t xml:space="preserve">. </w:t>
      </w:r>
    </w:p>
    <w:p w:rsidR="00333F01" w:rsidRPr="00D90382" w:rsidRDefault="00333F01" w:rsidP="00333F01">
      <w:pPr>
        <w:rPr>
          <w:rFonts w:ascii="Calibri" w:hAnsi="Calibri"/>
          <w:sz w:val="22"/>
          <w:szCs w:val="22"/>
        </w:rPr>
      </w:pPr>
    </w:p>
    <w:p w:rsidR="00333F01" w:rsidRPr="00D90382" w:rsidRDefault="00333F01" w:rsidP="00333F01">
      <w:pPr>
        <w:tabs>
          <w:tab w:val="left" w:pos="7515"/>
        </w:tabs>
        <w:rPr>
          <w:rFonts w:ascii="Calibri" w:hAnsi="Calibri"/>
          <w:b/>
          <w:sz w:val="22"/>
          <w:szCs w:val="22"/>
        </w:rPr>
      </w:pPr>
      <w:r w:rsidRPr="00D90382">
        <w:rPr>
          <w:rFonts w:ascii="Calibri" w:hAnsi="Calibri"/>
          <w:sz w:val="22"/>
          <w:szCs w:val="22"/>
        </w:rPr>
        <w:t xml:space="preserve">Högsta andelen godkända lätta lastbilar hade </w:t>
      </w:r>
      <w:r w:rsidR="004E7E86">
        <w:rPr>
          <w:rFonts w:ascii="Calibri" w:hAnsi="Calibri"/>
          <w:sz w:val="22"/>
          <w:szCs w:val="22"/>
        </w:rPr>
        <w:t>Gotland</w:t>
      </w:r>
      <w:r w:rsidRPr="00D90382">
        <w:rPr>
          <w:rFonts w:ascii="Calibri" w:hAnsi="Calibri"/>
          <w:sz w:val="22"/>
          <w:szCs w:val="22"/>
        </w:rPr>
        <w:t>s län med 5</w:t>
      </w:r>
      <w:r w:rsidR="004E7E86">
        <w:rPr>
          <w:rFonts w:ascii="Calibri" w:hAnsi="Calibri"/>
          <w:sz w:val="22"/>
          <w:szCs w:val="22"/>
        </w:rPr>
        <w:t>4</w:t>
      </w:r>
      <w:r w:rsidRPr="00D90382">
        <w:rPr>
          <w:rFonts w:ascii="Calibri" w:hAnsi="Calibri"/>
          <w:sz w:val="22"/>
          <w:szCs w:val="22"/>
        </w:rPr>
        <w:t xml:space="preserve"> procent. Lägsta andelen god</w:t>
      </w:r>
      <w:r w:rsidR="004E7E86">
        <w:rPr>
          <w:rFonts w:ascii="Calibri" w:hAnsi="Calibri"/>
          <w:sz w:val="22"/>
          <w:szCs w:val="22"/>
        </w:rPr>
        <w:t>kända hade Jönköpings län med 39</w:t>
      </w:r>
      <w:r w:rsidRPr="00D90382">
        <w:rPr>
          <w:rFonts w:ascii="Calibri" w:hAnsi="Calibri"/>
          <w:sz w:val="22"/>
          <w:szCs w:val="22"/>
        </w:rPr>
        <w:t xml:space="preserve"> procent.  </w:t>
      </w:r>
    </w:p>
    <w:p w:rsidR="00333F01" w:rsidRPr="00D90382" w:rsidRDefault="00333F01" w:rsidP="00333F01">
      <w:pPr>
        <w:rPr>
          <w:rFonts w:ascii="Calibri" w:hAnsi="Calibri"/>
          <w:sz w:val="22"/>
          <w:szCs w:val="22"/>
        </w:rPr>
      </w:pPr>
    </w:p>
    <w:p w:rsidR="00333F01" w:rsidRPr="00D90382" w:rsidRDefault="00333F01" w:rsidP="00333F01">
      <w:pPr>
        <w:rPr>
          <w:rFonts w:ascii="Calibri" w:hAnsi="Calibri"/>
          <w:sz w:val="22"/>
          <w:szCs w:val="22"/>
        </w:rPr>
      </w:pPr>
      <w:r w:rsidRPr="00D90382">
        <w:rPr>
          <w:rFonts w:ascii="Calibri" w:hAnsi="Calibri"/>
          <w:sz w:val="22"/>
          <w:szCs w:val="22"/>
        </w:rPr>
        <w:t xml:space="preserve">38 (36) procent </w:t>
      </w:r>
      <w:r w:rsidR="004E7E86">
        <w:rPr>
          <w:rFonts w:ascii="Calibri" w:hAnsi="Calibri"/>
          <w:sz w:val="22"/>
          <w:szCs w:val="22"/>
        </w:rPr>
        <w:t xml:space="preserve">av samtliga besiktade lätta lastbilar hade </w:t>
      </w:r>
      <w:r w:rsidRPr="00D90382">
        <w:rPr>
          <w:rFonts w:ascii="Calibri" w:hAnsi="Calibri"/>
          <w:sz w:val="22"/>
          <w:szCs w:val="22"/>
        </w:rPr>
        <w:t xml:space="preserve">fel som krävde efterkontroll. </w:t>
      </w:r>
      <w:r w:rsidR="00A4475A">
        <w:rPr>
          <w:rFonts w:ascii="Calibri" w:hAnsi="Calibri"/>
          <w:sz w:val="22"/>
          <w:szCs w:val="22"/>
        </w:rPr>
        <w:t>Det vanligaste problemområdet bland dessa var bromsarna; var</w:t>
      </w:r>
      <w:r w:rsidRPr="00D90382">
        <w:rPr>
          <w:rFonts w:ascii="Calibri" w:hAnsi="Calibri"/>
          <w:sz w:val="22"/>
          <w:szCs w:val="22"/>
        </w:rPr>
        <w:t xml:space="preserve"> femte (</w:t>
      </w:r>
      <w:r w:rsidR="00A4475A" w:rsidRPr="00A4475A">
        <w:rPr>
          <w:rFonts w:ascii="Calibri" w:hAnsi="Calibri"/>
          <w:sz w:val="22"/>
          <w:szCs w:val="22"/>
        </w:rPr>
        <w:t>19</w:t>
      </w:r>
      <w:r w:rsidRPr="00A4475A">
        <w:rPr>
          <w:rFonts w:ascii="Calibri" w:hAnsi="Calibri"/>
          <w:sz w:val="22"/>
          <w:szCs w:val="22"/>
        </w:rPr>
        <w:t xml:space="preserve"> procent</w:t>
      </w:r>
      <w:r w:rsidRPr="00D90382">
        <w:rPr>
          <w:rFonts w:ascii="Calibri" w:hAnsi="Calibri"/>
          <w:sz w:val="22"/>
          <w:szCs w:val="22"/>
        </w:rPr>
        <w:t xml:space="preserve">) </w:t>
      </w:r>
      <w:r w:rsidR="00A4475A">
        <w:rPr>
          <w:rFonts w:ascii="Calibri" w:hAnsi="Calibri"/>
          <w:sz w:val="22"/>
          <w:szCs w:val="22"/>
        </w:rPr>
        <w:t xml:space="preserve">lätt lastbil underkändes </w:t>
      </w:r>
      <w:r w:rsidRPr="00D90382">
        <w:rPr>
          <w:rFonts w:ascii="Calibri" w:hAnsi="Calibri"/>
          <w:sz w:val="22"/>
          <w:szCs w:val="22"/>
        </w:rPr>
        <w:t xml:space="preserve">på grund av en eller flera brister i bromssystemet. Vanligaste orsaken var ojämn bromsverkan, rostskadade bromsrör/skadade bromsslangar och otillräcklig bromsverkan på parkeringsbroms. </w:t>
      </w:r>
    </w:p>
    <w:p w:rsidR="00333F01" w:rsidRPr="00D90382" w:rsidRDefault="00333F01" w:rsidP="00333F01">
      <w:pPr>
        <w:rPr>
          <w:rFonts w:ascii="Calibri" w:hAnsi="Calibri"/>
          <w:sz w:val="22"/>
          <w:szCs w:val="22"/>
        </w:rPr>
      </w:pPr>
    </w:p>
    <w:p w:rsidR="00AB0461" w:rsidRPr="00D90382" w:rsidRDefault="00333F01" w:rsidP="00172566">
      <w:pPr>
        <w:tabs>
          <w:tab w:val="left" w:pos="7515"/>
        </w:tabs>
        <w:rPr>
          <w:rFonts w:ascii="Calibri" w:hAnsi="Calibri"/>
          <w:sz w:val="22"/>
          <w:szCs w:val="22"/>
        </w:rPr>
      </w:pPr>
      <w:r w:rsidRPr="00D90382">
        <w:rPr>
          <w:rFonts w:ascii="Calibri" w:hAnsi="Calibri"/>
          <w:sz w:val="22"/>
          <w:szCs w:val="22"/>
        </w:rPr>
        <w:t>Vid efterkontroll</w:t>
      </w:r>
      <w:r w:rsidR="006A3731">
        <w:rPr>
          <w:rFonts w:ascii="Calibri" w:hAnsi="Calibri"/>
          <w:sz w:val="22"/>
          <w:szCs w:val="22"/>
        </w:rPr>
        <w:t>en underkändes 11</w:t>
      </w:r>
      <w:r w:rsidR="007E0A4F" w:rsidRPr="00D90382">
        <w:rPr>
          <w:rFonts w:ascii="Calibri" w:hAnsi="Calibri"/>
          <w:sz w:val="22"/>
          <w:szCs w:val="22"/>
        </w:rPr>
        <w:t xml:space="preserve"> (10</w:t>
      </w:r>
      <w:r w:rsidRPr="00D90382">
        <w:rPr>
          <w:rFonts w:ascii="Calibri" w:hAnsi="Calibri"/>
          <w:sz w:val="22"/>
          <w:szCs w:val="22"/>
        </w:rPr>
        <w:t>) procent.</w:t>
      </w:r>
    </w:p>
    <w:p w:rsidR="00AB0461" w:rsidRPr="00D90382" w:rsidRDefault="00AB0461" w:rsidP="00172566">
      <w:pPr>
        <w:tabs>
          <w:tab w:val="left" w:pos="7515"/>
        </w:tabs>
        <w:rPr>
          <w:rFonts w:ascii="Calibri" w:hAnsi="Calibri"/>
          <w:b/>
          <w:sz w:val="22"/>
          <w:szCs w:val="22"/>
          <w:lang w:eastAsia="sv-SE"/>
        </w:rPr>
      </w:pPr>
    </w:p>
    <w:p w:rsidR="005265BD" w:rsidRPr="00D90382" w:rsidRDefault="00172566" w:rsidP="00172566">
      <w:pPr>
        <w:tabs>
          <w:tab w:val="left" w:pos="7515"/>
        </w:tabs>
        <w:rPr>
          <w:rFonts w:ascii="Calibri" w:hAnsi="Calibri"/>
          <w:b/>
          <w:sz w:val="22"/>
          <w:szCs w:val="22"/>
          <w:lang w:eastAsia="sv-SE"/>
        </w:rPr>
      </w:pPr>
      <w:r w:rsidRPr="00D90382">
        <w:rPr>
          <w:rFonts w:ascii="Calibri" w:hAnsi="Calibri"/>
          <w:b/>
          <w:sz w:val="22"/>
          <w:szCs w:val="22"/>
          <w:lang w:eastAsia="sv-SE"/>
        </w:rPr>
        <w:t>T</w:t>
      </w:r>
      <w:r w:rsidR="007C79F4" w:rsidRPr="00D90382">
        <w:rPr>
          <w:rFonts w:ascii="Calibri" w:hAnsi="Calibri"/>
          <w:b/>
          <w:sz w:val="22"/>
          <w:szCs w:val="22"/>
          <w:lang w:eastAsia="sv-SE"/>
        </w:rPr>
        <w:t>unga</w:t>
      </w:r>
      <w:r w:rsidR="00F26BE1" w:rsidRPr="00D90382">
        <w:rPr>
          <w:rFonts w:ascii="Calibri" w:hAnsi="Calibri"/>
          <w:b/>
          <w:sz w:val="22"/>
          <w:szCs w:val="22"/>
          <w:lang w:eastAsia="sv-SE"/>
        </w:rPr>
        <w:t xml:space="preserve"> lastbilar</w:t>
      </w:r>
    </w:p>
    <w:p w:rsidR="007C2A9E" w:rsidRPr="00D90382" w:rsidRDefault="007C2A9E" w:rsidP="007C2A9E">
      <w:pPr>
        <w:rPr>
          <w:rFonts w:ascii="Calibri" w:hAnsi="Calibri"/>
          <w:sz w:val="22"/>
          <w:szCs w:val="22"/>
        </w:rPr>
      </w:pPr>
      <w:r w:rsidRPr="00D90382">
        <w:rPr>
          <w:rFonts w:ascii="Calibri" w:hAnsi="Calibri"/>
          <w:sz w:val="22"/>
          <w:szCs w:val="22"/>
        </w:rPr>
        <w:t xml:space="preserve">Tunga lastbilar kontrollbesiktas första gången efter ett år i trafik och därefter </w:t>
      </w:r>
      <w:r w:rsidR="004E7E86">
        <w:rPr>
          <w:rFonts w:ascii="Calibri" w:hAnsi="Calibri"/>
          <w:sz w:val="22"/>
          <w:szCs w:val="22"/>
        </w:rPr>
        <w:t>årligen</w:t>
      </w:r>
      <w:r w:rsidRPr="00D90382">
        <w:rPr>
          <w:rFonts w:ascii="Calibri" w:hAnsi="Calibri"/>
          <w:sz w:val="22"/>
          <w:szCs w:val="22"/>
        </w:rPr>
        <w:t xml:space="preserve">. </w:t>
      </w:r>
    </w:p>
    <w:p w:rsidR="007C2A9E" w:rsidRPr="00D90382" w:rsidRDefault="007C2A9E" w:rsidP="007C2A9E">
      <w:pPr>
        <w:rPr>
          <w:rFonts w:ascii="Calibri" w:hAnsi="Calibri"/>
          <w:sz w:val="22"/>
          <w:szCs w:val="22"/>
        </w:rPr>
      </w:pPr>
    </w:p>
    <w:p w:rsidR="00D87194" w:rsidRPr="00D90382" w:rsidRDefault="00D87194" w:rsidP="00D87194">
      <w:pPr>
        <w:rPr>
          <w:rFonts w:ascii="Calibri" w:hAnsi="Calibri"/>
          <w:sz w:val="22"/>
          <w:szCs w:val="22"/>
        </w:rPr>
      </w:pPr>
      <w:r w:rsidRPr="00D90382">
        <w:rPr>
          <w:rFonts w:ascii="Calibri" w:hAnsi="Calibri"/>
          <w:sz w:val="22"/>
          <w:szCs w:val="22"/>
        </w:rPr>
        <w:t xml:space="preserve">Bilprovningen kontrollbesiktades </w:t>
      </w:r>
      <w:r w:rsidR="004E7E86">
        <w:rPr>
          <w:rFonts w:ascii="Calibri" w:hAnsi="Calibri"/>
          <w:sz w:val="22"/>
          <w:szCs w:val="22"/>
        </w:rPr>
        <w:t>75 833</w:t>
      </w:r>
      <w:r w:rsidRPr="00D90382">
        <w:rPr>
          <w:rFonts w:ascii="Calibri" w:hAnsi="Calibri"/>
          <w:sz w:val="22"/>
          <w:szCs w:val="22"/>
        </w:rPr>
        <w:t xml:space="preserve"> (80</w:t>
      </w:r>
      <w:r w:rsidR="004E7E86">
        <w:rPr>
          <w:rFonts w:ascii="Calibri" w:hAnsi="Calibri"/>
          <w:sz w:val="22"/>
          <w:szCs w:val="22"/>
        </w:rPr>
        <w:t> 830</w:t>
      </w:r>
      <w:r w:rsidRPr="00D90382">
        <w:rPr>
          <w:rFonts w:ascii="Calibri" w:hAnsi="Calibri"/>
          <w:sz w:val="22"/>
          <w:szCs w:val="22"/>
        </w:rPr>
        <w:t xml:space="preserve">) tunga lastbilar </w:t>
      </w:r>
      <w:r w:rsidR="004E7E86">
        <w:rPr>
          <w:rFonts w:ascii="Calibri" w:hAnsi="Calibri"/>
          <w:sz w:val="22"/>
          <w:szCs w:val="22"/>
        </w:rPr>
        <w:t>(totalvikt över 3,5 ton). 35 (34</w:t>
      </w:r>
      <w:r w:rsidRPr="00D90382">
        <w:rPr>
          <w:rFonts w:ascii="Calibri" w:hAnsi="Calibri"/>
          <w:sz w:val="22"/>
          <w:szCs w:val="22"/>
        </w:rPr>
        <w:t xml:space="preserve">) procent godkändes utan någon anmärkning. </w:t>
      </w:r>
    </w:p>
    <w:p w:rsidR="00D87194" w:rsidRPr="00D90382" w:rsidRDefault="00D87194" w:rsidP="00D87194">
      <w:pPr>
        <w:rPr>
          <w:rFonts w:ascii="Calibri" w:hAnsi="Calibri"/>
          <w:sz w:val="22"/>
          <w:szCs w:val="22"/>
        </w:rPr>
      </w:pPr>
    </w:p>
    <w:p w:rsidR="00D87194" w:rsidRPr="00D90382" w:rsidRDefault="00D87194" w:rsidP="00D87194">
      <w:pPr>
        <w:rPr>
          <w:rFonts w:ascii="Calibri" w:hAnsi="Calibri"/>
          <w:sz w:val="22"/>
          <w:szCs w:val="22"/>
        </w:rPr>
      </w:pPr>
      <w:r w:rsidRPr="00D90382">
        <w:rPr>
          <w:rFonts w:ascii="Calibri" w:hAnsi="Calibri"/>
          <w:sz w:val="22"/>
          <w:szCs w:val="22"/>
        </w:rPr>
        <w:t>Högsta andelen godkända tunga lastbilar hade Gotlands län med 4</w:t>
      </w:r>
      <w:r w:rsidR="002B50BF">
        <w:rPr>
          <w:rFonts w:ascii="Calibri" w:hAnsi="Calibri"/>
          <w:sz w:val="22"/>
          <w:szCs w:val="22"/>
        </w:rPr>
        <w:t>5</w:t>
      </w:r>
      <w:r w:rsidRPr="00D90382">
        <w:rPr>
          <w:rFonts w:ascii="Calibri" w:hAnsi="Calibri"/>
          <w:sz w:val="22"/>
          <w:szCs w:val="22"/>
        </w:rPr>
        <w:t xml:space="preserve"> procent. Lägsta andelen go</w:t>
      </w:r>
      <w:r w:rsidR="002B50BF">
        <w:rPr>
          <w:rFonts w:ascii="Calibri" w:hAnsi="Calibri"/>
          <w:sz w:val="22"/>
          <w:szCs w:val="22"/>
        </w:rPr>
        <w:t>dkända hade Gävleborgs län med 28</w:t>
      </w:r>
      <w:r w:rsidRPr="00D90382">
        <w:rPr>
          <w:rFonts w:ascii="Calibri" w:hAnsi="Calibri"/>
          <w:sz w:val="22"/>
          <w:szCs w:val="22"/>
        </w:rPr>
        <w:t xml:space="preserve"> procent.</w:t>
      </w:r>
    </w:p>
    <w:p w:rsidR="00D87194" w:rsidRPr="00D90382" w:rsidRDefault="00D87194" w:rsidP="00D87194">
      <w:pPr>
        <w:rPr>
          <w:rFonts w:ascii="Calibri" w:hAnsi="Calibri"/>
          <w:sz w:val="22"/>
          <w:szCs w:val="22"/>
        </w:rPr>
      </w:pPr>
    </w:p>
    <w:p w:rsidR="00D87194" w:rsidRPr="00D90382" w:rsidRDefault="00D87194" w:rsidP="00D87194">
      <w:pPr>
        <w:rPr>
          <w:rFonts w:ascii="Calibri" w:hAnsi="Calibri"/>
          <w:sz w:val="22"/>
          <w:szCs w:val="22"/>
        </w:rPr>
      </w:pPr>
      <w:r w:rsidRPr="00D90382">
        <w:rPr>
          <w:rFonts w:ascii="Calibri" w:hAnsi="Calibri"/>
          <w:sz w:val="22"/>
          <w:szCs w:val="22"/>
        </w:rPr>
        <w:t>Andelen underkända med krav på efterkont</w:t>
      </w:r>
      <w:r w:rsidR="00F840D5">
        <w:rPr>
          <w:rFonts w:ascii="Calibri" w:hAnsi="Calibri"/>
          <w:sz w:val="22"/>
          <w:szCs w:val="22"/>
        </w:rPr>
        <w:t>roll var 4</w:t>
      </w:r>
      <w:r w:rsidR="002B50BF">
        <w:rPr>
          <w:rFonts w:ascii="Calibri" w:hAnsi="Calibri"/>
          <w:sz w:val="22"/>
          <w:szCs w:val="22"/>
        </w:rPr>
        <w:t>4</w:t>
      </w:r>
      <w:r w:rsidR="00F840D5">
        <w:rPr>
          <w:rFonts w:ascii="Calibri" w:hAnsi="Calibri"/>
          <w:sz w:val="22"/>
          <w:szCs w:val="22"/>
        </w:rPr>
        <w:t xml:space="preserve"> (4</w:t>
      </w:r>
      <w:r w:rsidR="002B50BF">
        <w:rPr>
          <w:rFonts w:ascii="Calibri" w:hAnsi="Calibri"/>
          <w:sz w:val="22"/>
          <w:szCs w:val="22"/>
        </w:rPr>
        <w:t>5</w:t>
      </w:r>
      <w:r w:rsidR="00317E2C" w:rsidRPr="00D90382">
        <w:rPr>
          <w:rFonts w:ascii="Calibri" w:hAnsi="Calibri"/>
          <w:sz w:val="22"/>
          <w:szCs w:val="22"/>
        </w:rPr>
        <w:t>)</w:t>
      </w:r>
      <w:r w:rsidRPr="00D90382">
        <w:rPr>
          <w:rFonts w:ascii="Calibri" w:hAnsi="Calibri"/>
          <w:sz w:val="22"/>
          <w:szCs w:val="22"/>
        </w:rPr>
        <w:t xml:space="preserve"> procent.  </w:t>
      </w:r>
      <w:r w:rsidR="00014096">
        <w:rPr>
          <w:rFonts w:ascii="Calibri" w:hAnsi="Calibri"/>
          <w:sz w:val="22"/>
          <w:szCs w:val="22"/>
        </w:rPr>
        <w:t xml:space="preserve">Bromsarna utgör det första problemområdet; </w:t>
      </w:r>
      <w:r w:rsidRPr="00981A38">
        <w:rPr>
          <w:rFonts w:ascii="Calibri" w:hAnsi="Calibri"/>
          <w:sz w:val="22"/>
          <w:szCs w:val="22"/>
        </w:rPr>
        <w:t>2</w:t>
      </w:r>
      <w:r w:rsidR="00981A38" w:rsidRPr="00981A38">
        <w:rPr>
          <w:rFonts w:ascii="Calibri" w:hAnsi="Calibri"/>
          <w:sz w:val="22"/>
          <w:szCs w:val="22"/>
        </w:rPr>
        <w:t>6</w:t>
      </w:r>
      <w:r w:rsidRPr="00981A38">
        <w:rPr>
          <w:rFonts w:ascii="Calibri" w:hAnsi="Calibri"/>
          <w:sz w:val="22"/>
          <w:szCs w:val="22"/>
        </w:rPr>
        <w:t xml:space="preserve"> </w:t>
      </w:r>
      <w:r w:rsidRPr="00D90382">
        <w:rPr>
          <w:rFonts w:ascii="Calibri" w:hAnsi="Calibri"/>
          <w:sz w:val="22"/>
          <w:szCs w:val="22"/>
        </w:rPr>
        <w:t>procent</w:t>
      </w:r>
      <w:r w:rsidR="00014096">
        <w:rPr>
          <w:rFonts w:ascii="Calibri" w:hAnsi="Calibri"/>
          <w:sz w:val="22"/>
          <w:szCs w:val="22"/>
        </w:rPr>
        <w:t xml:space="preserve"> </w:t>
      </w:r>
      <w:r w:rsidRPr="00D90382">
        <w:rPr>
          <w:rFonts w:ascii="Calibri" w:hAnsi="Calibri"/>
          <w:sz w:val="22"/>
          <w:szCs w:val="22"/>
        </w:rPr>
        <w:t xml:space="preserve">underkändes till följd av en eller flera brister i bromssystemet. </w:t>
      </w:r>
    </w:p>
    <w:p w:rsidR="00D87194" w:rsidRPr="00D90382" w:rsidRDefault="00D87194" w:rsidP="00D87194">
      <w:pPr>
        <w:rPr>
          <w:rFonts w:ascii="Calibri" w:hAnsi="Calibri"/>
          <w:sz w:val="22"/>
          <w:szCs w:val="22"/>
        </w:rPr>
      </w:pPr>
    </w:p>
    <w:p w:rsidR="00D6676D" w:rsidRPr="00D90382" w:rsidRDefault="006A3731" w:rsidP="00172566">
      <w:pPr>
        <w:rPr>
          <w:rFonts w:ascii="Calibri" w:hAnsi="Calibri"/>
          <w:sz w:val="22"/>
          <w:szCs w:val="22"/>
        </w:rPr>
      </w:pPr>
      <w:r>
        <w:rPr>
          <w:rFonts w:ascii="Calibri" w:hAnsi="Calibri"/>
          <w:sz w:val="22"/>
          <w:szCs w:val="22"/>
        </w:rPr>
        <w:t>18</w:t>
      </w:r>
      <w:r w:rsidR="00D87194" w:rsidRPr="00D90382">
        <w:rPr>
          <w:rFonts w:ascii="Calibri" w:hAnsi="Calibri"/>
          <w:sz w:val="22"/>
          <w:szCs w:val="22"/>
        </w:rPr>
        <w:t xml:space="preserve"> (18) procent underkändes även vid efterkontrollen.</w:t>
      </w:r>
      <w:r w:rsidR="007201E1" w:rsidRPr="00D90382">
        <w:rPr>
          <w:rFonts w:ascii="Calibri" w:hAnsi="Calibri"/>
          <w:sz w:val="22"/>
          <w:szCs w:val="22"/>
        </w:rPr>
        <w:t xml:space="preserve">  </w:t>
      </w:r>
      <w:r w:rsidR="00FB4B2F" w:rsidRPr="00D90382">
        <w:rPr>
          <w:rFonts w:ascii="Calibri" w:hAnsi="Calibri"/>
          <w:sz w:val="22"/>
          <w:szCs w:val="22"/>
        </w:rPr>
        <w:t xml:space="preserve"> </w:t>
      </w:r>
    </w:p>
    <w:p w:rsidR="00472EDF" w:rsidRPr="00D90382" w:rsidRDefault="00472EDF" w:rsidP="00172566">
      <w:pPr>
        <w:tabs>
          <w:tab w:val="left" w:pos="7515"/>
        </w:tabs>
        <w:rPr>
          <w:rFonts w:ascii="Calibri" w:hAnsi="Calibri"/>
          <w:b/>
          <w:sz w:val="22"/>
          <w:szCs w:val="22"/>
          <w:lang w:eastAsia="sv-SE"/>
        </w:rPr>
      </w:pPr>
    </w:p>
    <w:p w:rsidR="00172566" w:rsidRPr="00D90382" w:rsidRDefault="00172566" w:rsidP="00172566">
      <w:pPr>
        <w:tabs>
          <w:tab w:val="left" w:pos="7515"/>
        </w:tabs>
        <w:rPr>
          <w:rFonts w:ascii="Calibri" w:hAnsi="Calibri"/>
          <w:b/>
          <w:sz w:val="22"/>
          <w:szCs w:val="22"/>
          <w:lang w:eastAsia="sv-SE"/>
        </w:rPr>
      </w:pPr>
      <w:r w:rsidRPr="00D90382">
        <w:rPr>
          <w:rFonts w:ascii="Calibri" w:hAnsi="Calibri"/>
          <w:b/>
          <w:sz w:val="22"/>
          <w:szCs w:val="22"/>
          <w:lang w:eastAsia="sv-SE"/>
        </w:rPr>
        <w:t>Lätta bussar</w:t>
      </w:r>
    </w:p>
    <w:p w:rsidR="007C2A9E" w:rsidRPr="00D90382" w:rsidRDefault="007C2A9E" w:rsidP="00172566">
      <w:pPr>
        <w:rPr>
          <w:rFonts w:ascii="Calibri" w:hAnsi="Calibri"/>
          <w:sz w:val="22"/>
          <w:szCs w:val="22"/>
        </w:rPr>
      </w:pPr>
      <w:r w:rsidRPr="00D90382">
        <w:rPr>
          <w:rFonts w:ascii="Calibri" w:hAnsi="Calibri"/>
          <w:sz w:val="22"/>
          <w:szCs w:val="22"/>
        </w:rPr>
        <w:t xml:space="preserve">Lätta bussar besiktas första gången när bussen är tre år och andra gången när den är fem </w:t>
      </w:r>
      <w:r w:rsidR="007A5135">
        <w:rPr>
          <w:rFonts w:ascii="Calibri" w:hAnsi="Calibri"/>
          <w:sz w:val="22"/>
          <w:szCs w:val="22"/>
        </w:rPr>
        <w:t>år gammal. Därefter besiktas lätta bussar årligen</w:t>
      </w:r>
      <w:r w:rsidRPr="00D90382">
        <w:rPr>
          <w:rFonts w:ascii="Calibri" w:hAnsi="Calibri"/>
          <w:sz w:val="22"/>
          <w:szCs w:val="22"/>
        </w:rPr>
        <w:t>.</w:t>
      </w:r>
    </w:p>
    <w:p w:rsidR="00F11CA6" w:rsidRPr="00D90382" w:rsidRDefault="00F11CA6" w:rsidP="00F11CA6">
      <w:pPr>
        <w:tabs>
          <w:tab w:val="left" w:pos="7515"/>
        </w:tabs>
        <w:rPr>
          <w:rFonts w:ascii="Calibri" w:hAnsi="Calibri"/>
          <w:b/>
          <w:sz w:val="22"/>
          <w:szCs w:val="22"/>
          <w:lang w:eastAsia="sv-SE"/>
        </w:rPr>
      </w:pPr>
    </w:p>
    <w:p w:rsidR="00D90382" w:rsidRDefault="0063246E" w:rsidP="00F11CA6">
      <w:pPr>
        <w:rPr>
          <w:rFonts w:ascii="Calibri" w:hAnsi="Calibri"/>
          <w:sz w:val="22"/>
          <w:szCs w:val="22"/>
        </w:rPr>
      </w:pPr>
      <w:r>
        <w:rPr>
          <w:rFonts w:ascii="Calibri" w:hAnsi="Calibri"/>
          <w:sz w:val="22"/>
          <w:szCs w:val="22"/>
        </w:rPr>
        <w:t>Bilprovningen kontrollbesiktade</w:t>
      </w:r>
      <w:r w:rsidR="007A5135">
        <w:rPr>
          <w:rFonts w:ascii="Calibri" w:hAnsi="Calibri"/>
          <w:sz w:val="22"/>
          <w:szCs w:val="22"/>
        </w:rPr>
        <w:t xml:space="preserve"> 205 lätta bussar. 40</w:t>
      </w:r>
      <w:r w:rsidR="00F11CA6" w:rsidRPr="00D90382">
        <w:rPr>
          <w:rFonts w:ascii="Calibri" w:hAnsi="Calibri"/>
          <w:sz w:val="22"/>
          <w:szCs w:val="22"/>
        </w:rPr>
        <w:t xml:space="preserve"> procent godkändes utan anmärkning. </w:t>
      </w:r>
    </w:p>
    <w:p w:rsidR="00D03AB5" w:rsidRDefault="00D03AB5" w:rsidP="00F11CA6">
      <w:pPr>
        <w:rPr>
          <w:rFonts w:ascii="Calibri" w:hAnsi="Calibri"/>
          <w:sz w:val="22"/>
          <w:szCs w:val="22"/>
        </w:rPr>
      </w:pPr>
    </w:p>
    <w:p w:rsidR="00D03AB5" w:rsidRPr="00D03AB5" w:rsidRDefault="00D03AB5" w:rsidP="00D03AB5">
      <w:pPr>
        <w:rPr>
          <w:rFonts w:ascii="Calibri" w:hAnsi="Calibri"/>
          <w:sz w:val="22"/>
          <w:szCs w:val="22"/>
        </w:rPr>
      </w:pPr>
      <w:r>
        <w:rPr>
          <w:rFonts w:ascii="Calibri" w:hAnsi="Calibri"/>
          <w:sz w:val="22"/>
          <w:szCs w:val="22"/>
        </w:rPr>
        <w:t xml:space="preserve">En länsvis fördelning av lätta bussar presenteras inte eftersom antalet är för få för att den ska anses vara </w:t>
      </w:r>
      <w:r w:rsidRPr="00D03AB5">
        <w:rPr>
          <w:rFonts w:ascii="Calibri" w:hAnsi="Calibri"/>
          <w:sz w:val="22"/>
          <w:szCs w:val="22"/>
        </w:rPr>
        <w:t xml:space="preserve">statistiskt </w:t>
      </w:r>
      <w:r>
        <w:rPr>
          <w:rFonts w:ascii="Calibri" w:hAnsi="Calibri"/>
          <w:sz w:val="22"/>
          <w:szCs w:val="22"/>
        </w:rPr>
        <w:t>relevant.</w:t>
      </w:r>
    </w:p>
    <w:p w:rsidR="00D90382" w:rsidRDefault="00D90382" w:rsidP="00F11CA6">
      <w:pPr>
        <w:rPr>
          <w:rFonts w:ascii="Calibri" w:hAnsi="Calibri"/>
          <w:sz w:val="22"/>
          <w:szCs w:val="22"/>
        </w:rPr>
      </w:pPr>
    </w:p>
    <w:p w:rsidR="00D90382" w:rsidRPr="00D90382" w:rsidRDefault="00D90382" w:rsidP="00D90382">
      <w:pPr>
        <w:rPr>
          <w:rFonts w:ascii="Calibri" w:hAnsi="Calibri"/>
          <w:sz w:val="22"/>
          <w:szCs w:val="22"/>
        </w:rPr>
      </w:pPr>
      <w:r w:rsidRPr="00D90382">
        <w:rPr>
          <w:rFonts w:ascii="Calibri" w:hAnsi="Calibri"/>
          <w:sz w:val="22"/>
          <w:szCs w:val="22"/>
        </w:rPr>
        <w:t xml:space="preserve">Andelen underkända </w:t>
      </w:r>
      <w:r w:rsidR="007A5135">
        <w:rPr>
          <w:rFonts w:ascii="Calibri" w:hAnsi="Calibri"/>
          <w:sz w:val="22"/>
          <w:szCs w:val="22"/>
        </w:rPr>
        <w:t>med krav på efterkontroll var 49</w:t>
      </w:r>
      <w:r w:rsidRPr="00D90382">
        <w:rPr>
          <w:rFonts w:ascii="Calibri" w:hAnsi="Calibri"/>
          <w:sz w:val="22"/>
          <w:szCs w:val="22"/>
        </w:rPr>
        <w:t xml:space="preserve"> procent. </w:t>
      </w:r>
      <w:r w:rsidR="00162DCD">
        <w:rPr>
          <w:rFonts w:ascii="Calibri" w:hAnsi="Calibri"/>
          <w:sz w:val="22"/>
          <w:szCs w:val="22"/>
        </w:rPr>
        <w:t xml:space="preserve">Det är den högsta siffran bland samtliga fordonsslag. </w:t>
      </w:r>
      <w:r w:rsidRPr="00D90382">
        <w:rPr>
          <w:rFonts w:ascii="Calibri" w:hAnsi="Calibri"/>
          <w:sz w:val="22"/>
          <w:szCs w:val="22"/>
        </w:rPr>
        <w:t xml:space="preserve"> </w:t>
      </w:r>
    </w:p>
    <w:p w:rsidR="00D90382" w:rsidRPr="00D90382" w:rsidRDefault="00D90382" w:rsidP="00D90382">
      <w:pPr>
        <w:rPr>
          <w:rFonts w:ascii="Calibri" w:hAnsi="Calibri"/>
          <w:sz w:val="22"/>
          <w:szCs w:val="22"/>
        </w:rPr>
      </w:pPr>
    </w:p>
    <w:p w:rsidR="00D90382" w:rsidRPr="00D90382" w:rsidRDefault="007257E0" w:rsidP="00D90382">
      <w:pPr>
        <w:rPr>
          <w:rFonts w:ascii="Calibri" w:hAnsi="Calibri"/>
          <w:sz w:val="22"/>
          <w:szCs w:val="22"/>
        </w:rPr>
      </w:pPr>
      <w:r>
        <w:rPr>
          <w:rFonts w:ascii="Calibri" w:hAnsi="Calibri"/>
          <w:sz w:val="22"/>
          <w:szCs w:val="22"/>
        </w:rPr>
        <w:t>14</w:t>
      </w:r>
      <w:r w:rsidR="00D90382" w:rsidRPr="00D90382">
        <w:rPr>
          <w:rFonts w:ascii="Calibri" w:hAnsi="Calibri"/>
          <w:sz w:val="22"/>
          <w:szCs w:val="22"/>
        </w:rPr>
        <w:t xml:space="preserve"> </w:t>
      </w:r>
      <w:r>
        <w:rPr>
          <w:rFonts w:ascii="Calibri" w:hAnsi="Calibri"/>
          <w:sz w:val="22"/>
          <w:szCs w:val="22"/>
        </w:rPr>
        <w:t xml:space="preserve">(13) </w:t>
      </w:r>
      <w:r w:rsidR="00D90382" w:rsidRPr="00D90382">
        <w:rPr>
          <w:rFonts w:ascii="Calibri" w:hAnsi="Calibri"/>
          <w:sz w:val="22"/>
          <w:szCs w:val="22"/>
        </w:rPr>
        <w:t xml:space="preserve">procent underkändes även vid efterkontrollen.   </w:t>
      </w:r>
    </w:p>
    <w:p w:rsidR="00D90382" w:rsidRDefault="00D90382" w:rsidP="00F11CA6">
      <w:pPr>
        <w:rPr>
          <w:rFonts w:ascii="Calibri" w:hAnsi="Calibri"/>
          <w:sz w:val="22"/>
          <w:szCs w:val="22"/>
        </w:rPr>
      </w:pPr>
    </w:p>
    <w:p w:rsidR="00172566" w:rsidRPr="00D90382" w:rsidRDefault="00F11CA6" w:rsidP="00172566">
      <w:pPr>
        <w:rPr>
          <w:rFonts w:ascii="Calibri" w:hAnsi="Calibri"/>
          <w:sz w:val="22"/>
          <w:szCs w:val="22"/>
        </w:rPr>
      </w:pPr>
      <w:r w:rsidRPr="00D90382">
        <w:rPr>
          <w:rFonts w:ascii="Calibri" w:hAnsi="Calibri"/>
          <w:sz w:val="22"/>
          <w:szCs w:val="22"/>
        </w:rPr>
        <w:t>De vanligaste felen</w:t>
      </w:r>
      <w:r w:rsidR="00934287">
        <w:rPr>
          <w:rFonts w:ascii="Calibri" w:hAnsi="Calibri"/>
          <w:sz w:val="22"/>
          <w:szCs w:val="22"/>
        </w:rPr>
        <w:t xml:space="preserve"> med krav på efterkontroll</w:t>
      </w:r>
      <w:r w:rsidRPr="00D90382">
        <w:rPr>
          <w:rFonts w:ascii="Calibri" w:hAnsi="Calibri"/>
          <w:sz w:val="22"/>
          <w:szCs w:val="22"/>
        </w:rPr>
        <w:t xml:space="preserve"> är anmärkningar på </w:t>
      </w:r>
      <w:r w:rsidRPr="00934287">
        <w:rPr>
          <w:rFonts w:ascii="Calibri" w:hAnsi="Calibri"/>
          <w:sz w:val="22"/>
          <w:szCs w:val="22"/>
        </w:rPr>
        <w:t>bromssyste</w:t>
      </w:r>
      <w:r w:rsidR="00934287" w:rsidRPr="00934287">
        <w:rPr>
          <w:rFonts w:ascii="Calibri" w:hAnsi="Calibri"/>
          <w:sz w:val="22"/>
          <w:szCs w:val="22"/>
        </w:rPr>
        <w:t>m (30</w:t>
      </w:r>
      <w:r w:rsidRPr="00934287">
        <w:rPr>
          <w:rFonts w:ascii="Calibri" w:hAnsi="Calibri"/>
          <w:sz w:val="22"/>
          <w:szCs w:val="22"/>
        </w:rPr>
        <w:t xml:space="preserve"> procent),</w:t>
      </w:r>
      <w:r w:rsidR="00934287">
        <w:rPr>
          <w:rFonts w:ascii="Calibri" w:hAnsi="Calibri"/>
          <w:color w:val="FF0000"/>
          <w:sz w:val="22"/>
          <w:szCs w:val="22"/>
        </w:rPr>
        <w:t xml:space="preserve"> </w:t>
      </w:r>
      <w:r w:rsidR="00934287" w:rsidRPr="00934287">
        <w:rPr>
          <w:rFonts w:ascii="Calibri" w:hAnsi="Calibri"/>
          <w:sz w:val="22"/>
          <w:szCs w:val="22"/>
        </w:rPr>
        <w:t>brandskyddskontroll (12</w:t>
      </w:r>
      <w:r w:rsidRPr="00934287">
        <w:rPr>
          <w:rFonts w:ascii="Calibri" w:hAnsi="Calibri"/>
          <w:sz w:val="22"/>
          <w:szCs w:val="22"/>
        </w:rPr>
        <w:t xml:space="preserve"> procent) o</w:t>
      </w:r>
      <w:r w:rsidR="00934287" w:rsidRPr="00934287">
        <w:rPr>
          <w:rFonts w:ascii="Calibri" w:hAnsi="Calibri"/>
          <w:sz w:val="22"/>
          <w:szCs w:val="22"/>
        </w:rPr>
        <w:t>ch hjulsystem</w:t>
      </w:r>
      <w:r w:rsidRPr="00934287">
        <w:rPr>
          <w:rFonts w:ascii="Calibri" w:hAnsi="Calibri"/>
          <w:sz w:val="22"/>
          <w:szCs w:val="22"/>
        </w:rPr>
        <w:t xml:space="preserve"> (1</w:t>
      </w:r>
      <w:r w:rsidR="00934287" w:rsidRPr="00934287">
        <w:rPr>
          <w:rFonts w:ascii="Calibri" w:hAnsi="Calibri"/>
          <w:sz w:val="22"/>
          <w:szCs w:val="22"/>
        </w:rPr>
        <w:t>2</w:t>
      </w:r>
      <w:r w:rsidRPr="00934287">
        <w:rPr>
          <w:rFonts w:ascii="Calibri" w:hAnsi="Calibri"/>
          <w:sz w:val="22"/>
          <w:szCs w:val="22"/>
        </w:rPr>
        <w:t xml:space="preserve"> procent).</w:t>
      </w:r>
    </w:p>
    <w:p w:rsidR="008C3231" w:rsidRPr="00D90382" w:rsidRDefault="008C3231" w:rsidP="00172566">
      <w:pPr>
        <w:tabs>
          <w:tab w:val="left" w:pos="7515"/>
        </w:tabs>
        <w:rPr>
          <w:rFonts w:ascii="Calibri" w:hAnsi="Calibri"/>
          <w:b/>
          <w:sz w:val="22"/>
          <w:szCs w:val="22"/>
          <w:lang w:eastAsia="sv-SE"/>
        </w:rPr>
      </w:pPr>
    </w:p>
    <w:p w:rsidR="003D56B5" w:rsidRPr="00D90382" w:rsidRDefault="00172566" w:rsidP="00172566">
      <w:pPr>
        <w:tabs>
          <w:tab w:val="left" w:pos="7515"/>
        </w:tabs>
        <w:rPr>
          <w:rFonts w:ascii="Calibri" w:hAnsi="Calibri"/>
          <w:b/>
          <w:sz w:val="22"/>
          <w:szCs w:val="22"/>
          <w:lang w:eastAsia="sv-SE"/>
        </w:rPr>
      </w:pPr>
      <w:r w:rsidRPr="00D90382">
        <w:rPr>
          <w:rFonts w:ascii="Calibri" w:hAnsi="Calibri"/>
          <w:b/>
          <w:sz w:val="22"/>
          <w:szCs w:val="22"/>
          <w:lang w:eastAsia="sv-SE"/>
        </w:rPr>
        <w:t>T</w:t>
      </w:r>
      <w:r w:rsidR="007C79F4" w:rsidRPr="00D90382">
        <w:rPr>
          <w:rFonts w:ascii="Calibri" w:hAnsi="Calibri"/>
          <w:b/>
          <w:sz w:val="22"/>
          <w:szCs w:val="22"/>
          <w:lang w:eastAsia="sv-SE"/>
        </w:rPr>
        <w:t>unga</w:t>
      </w:r>
      <w:r w:rsidR="00F5257A" w:rsidRPr="00D90382">
        <w:rPr>
          <w:rFonts w:ascii="Calibri" w:hAnsi="Calibri"/>
          <w:b/>
          <w:sz w:val="22"/>
          <w:szCs w:val="22"/>
          <w:lang w:eastAsia="sv-SE"/>
        </w:rPr>
        <w:t xml:space="preserve"> bussar</w:t>
      </w:r>
    </w:p>
    <w:p w:rsidR="007C2A9E" w:rsidRPr="00D90382" w:rsidRDefault="007C2A9E" w:rsidP="007C2A9E">
      <w:pPr>
        <w:rPr>
          <w:rFonts w:ascii="Calibri" w:hAnsi="Calibri"/>
          <w:sz w:val="22"/>
          <w:szCs w:val="22"/>
        </w:rPr>
      </w:pPr>
      <w:r w:rsidRPr="00D90382">
        <w:rPr>
          <w:rFonts w:ascii="Calibri" w:hAnsi="Calibri"/>
          <w:sz w:val="22"/>
          <w:szCs w:val="22"/>
        </w:rPr>
        <w:t xml:space="preserve">Tunga bussar kontrollbesiktas första gången efter ett år i trafik och därefter </w:t>
      </w:r>
      <w:r w:rsidR="007A5135">
        <w:rPr>
          <w:rFonts w:ascii="Calibri" w:hAnsi="Calibri"/>
          <w:sz w:val="22"/>
          <w:szCs w:val="22"/>
        </w:rPr>
        <w:t>årligen</w:t>
      </w:r>
      <w:r w:rsidRPr="00D90382">
        <w:rPr>
          <w:rFonts w:ascii="Calibri" w:hAnsi="Calibri"/>
          <w:sz w:val="22"/>
          <w:szCs w:val="22"/>
        </w:rPr>
        <w:t xml:space="preserve">. </w:t>
      </w:r>
    </w:p>
    <w:p w:rsidR="007C2A9E" w:rsidRPr="00D90382" w:rsidRDefault="007C2A9E" w:rsidP="007C2A9E">
      <w:pPr>
        <w:rPr>
          <w:rFonts w:ascii="Calibri" w:hAnsi="Calibri"/>
          <w:sz w:val="22"/>
          <w:szCs w:val="22"/>
        </w:rPr>
      </w:pPr>
    </w:p>
    <w:p w:rsidR="00B04EB7" w:rsidRPr="00D90382" w:rsidRDefault="00B04EB7" w:rsidP="00B04EB7">
      <w:pPr>
        <w:rPr>
          <w:rFonts w:ascii="Calibri" w:hAnsi="Calibri"/>
          <w:sz w:val="22"/>
          <w:szCs w:val="22"/>
        </w:rPr>
      </w:pPr>
      <w:r w:rsidRPr="00D90382">
        <w:rPr>
          <w:rFonts w:ascii="Calibri" w:hAnsi="Calibri"/>
          <w:sz w:val="22"/>
          <w:szCs w:val="22"/>
        </w:rPr>
        <w:t xml:space="preserve">Bilprovningen kontrollbesiktade </w:t>
      </w:r>
      <w:r w:rsidR="001A3509">
        <w:rPr>
          <w:rFonts w:ascii="Calibri" w:hAnsi="Calibri"/>
          <w:sz w:val="22"/>
          <w:szCs w:val="22"/>
        </w:rPr>
        <w:t>13 588</w:t>
      </w:r>
      <w:r w:rsidRPr="00D90382">
        <w:rPr>
          <w:rFonts w:ascii="Calibri" w:hAnsi="Calibri"/>
          <w:sz w:val="22"/>
          <w:szCs w:val="22"/>
        </w:rPr>
        <w:t xml:space="preserve"> (</w:t>
      </w:r>
      <w:r w:rsidR="001A3509">
        <w:rPr>
          <w:rFonts w:ascii="Calibri" w:hAnsi="Calibri"/>
          <w:sz w:val="22"/>
          <w:szCs w:val="22"/>
        </w:rPr>
        <w:t>14 054</w:t>
      </w:r>
      <w:r w:rsidRPr="00D90382">
        <w:rPr>
          <w:rFonts w:ascii="Calibri" w:hAnsi="Calibri"/>
          <w:sz w:val="22"/>
          <w:szCs w:val="22"/>
        </w:rPr>
        <w:t>) tunga bussar (totalvikt över 3,5 ton). 5</w:t>
      </w:r>
      <w:r w:rsidR="001A3509">
        <w:rPr>
          <w:rFonts w:ascii="Calibri" w:hAnsi="Calibri"/>
          <w:sz w:val="22"/>
          <w:szCs w:val="22"/>
        </w:rPr>
        <w:t>9</w:t>
      </w:r>
      <w:r w:rsidRPr="00D90382">
        <w:rPr>
          <w:rFonts w:ascii="Calibri" w:hAnsi="Calibri"/>
          <w:sz w:val="22"/>
          <w:szCs w:val="22"/>
        </w:rPr>
        <w:t xml:space="preserve"> procent (56) godkändes utan anmärkning</w:t>
      </w:r>
      <w:r w:rsidR="001A3509">
        <w:rPr>
          <w:rFonts w:ascii="Calibri" w:hAnsi="Calibri"/>
          <w:sz w:val="22"/>
          <w:szCs w:val="22"/>
        </w:rPr>
        <w:t xml:space="preserve">, en glädjande förbättring från tidigare år. Var femte buss </w:t>
      </w:r>
      <w:r w:rsidR="001A3509" w:rsidRPr="00934287">
        <w:rPr>
          <w:rFonts w:ascii="Calibri" w:hAnsi="Calibri"/>
          <w:sz w:val="22"/>
          <w:szCs w:val="22"/>
        </w:rPr>
        <w:t>(</w:t>
      </w:r>
      <w:r w:rsidR="00934287" w:rsidRPr="00934287">
        <w:rPr>
          <w:rFonts w:ascii="Calibri" w:hAnsi="Calibri"/>
          <w:sz w:val="22"/>
          <w:szCs w:val="22"/>
        </w:rPr>
        <w:t>19</w:t>
      </w:r>
      <w:r w:rsidR="001A3509" w:rsidRPr="00934287">
        <w:rPr>
          <w:rFonts w:ascii="Calibri" w:hAnsi="Calibri"/>
          <w:sz w:val="22"/>
          <w:szCs w:val="22"/>
        </w:rPr>
        <w:t xml:space="preserve"> </w:t>
      </w:r>
      <w:r w:rsidRPr="00934287">
        <w:rPr>
          <w:rFonts w:ascii="Calibri" w:hAnsi="Calibri"/>
          <w:sz w:val="22"/>
          <w:szCs w:val="22"/>
        </w:rPr>
        <w:t>procent)</w:t>
      </w:r>
      <w:r w:rsidRPr="00D90382">
        <w:rPr>
          <w:rFonts w:ascii="Calibri" w:hAnsi="Calibri"/>
          <w:sz w:val="22"/>
          <w:szCs w:val="22"/>
        </w:rPr>
        <w:t xml:space="preserve"> underkändes på grund av brister i kommunikationssystem (strålkastare, lyktor eller signalanordningar).  </w:t>
      </w:r>
    </w:p>
    <w:p w:rsidR="00B04EB7" w:rsidRPr="00D90382" w:rsidRDefault="00B04EB7" w:rsidP="00B04EB7">
      <w:pPr>
        <w:rPr>
          <w:rFonts w:ascii="Calibri" w:hAnsi="Calibri"/>
          <w:sz w:val="22"/>
          <w:szCs w:val="22"/>
        </w:rPr>
      </w:pPr>
    </w:p>
    <w:p w:rsidR="00B04EB7" w:rsidRPr="00D90382" w:rsidRDefault="00B04EB7" w:rsidP="00B04EB7">
      <w:pPr>
        <w:tabs>
          <w:tab w:val="left" w:pos="7515"/>
        </w:tabs>
        <w:rPr>
          <w:rFonts w:ascii="Calibri" w:hAnsi="Calibri"/>
          <w:b/>
          <w:sz w:val="22"/>
          <w:szCs w:val="22"/>
        </w:rPr>
      </w:pPr>
      <w:r w:rsidRPr="00D90382">
        <w:rPr>
          <w:rFonts w:ascii="Calibri" w:hAnsi="Calibri"/>
          <w:sz w:val="22"/>
          <w:szCs w:val="22"/>
        </w:rPr>
        <w:lastRenderedPageBreak/>
        <w:t xml:space="preserve">Högsta andelen godkända tunga bussar hade Hallands </w:t>
      </w:r>
      <w:r w:rsidR="001A3509">
        <w:rPr>
          <w:rFonts w:ascii="Calibri" w:hAnsi="Calibri"/>
          <w:sz w:val="22"/>
          <w:szCs w:val="22"/>
        </w:rPr>
        <w:t>län med 68 procent. Den klart l</w:t>
      </w:r>
      <w:r w:rsidRPr="00D90382">
        <w:rPr>
          <w:rFonts w:ascii="Calibri" w:hAnsi="Calibri"/>
          <w:sz w:val="22"/>
          <w:szCs w:val="22"/>
        </w:rPr>
        <w:t>ägsta andelen go</w:t>
      </w:r>
      <w:r w:rsidR="001A3509">
        <w:rPr>
          <w:rFonts w:ascii="Calibri" w:hAnsi="Calibri"/>
          <w:sz w:val="22"/>
          <w:szCs w:val="22"/>
        </w:rPr>
        <w:t>dkända hade Kronobergs län med 32</w:t>
      </w:r>
      <w:r w:rsidRPr="00D90382">
        <w:rPr>
          <w:rFonts w:ascii="Calibri" w:hAnsi="Calibri"/>
          <w:sz w:val="22"/>
          <w:szCs w:val="22"/>
        </w:rPr>
        <w:t xml:space="preserve"> procent.  </w:t>
      </w:r>
    </w:p>
    <w:p w:rsidR="00B04EB7" w:rsidRPr="00D90382" w:rsidRDefault="00B04EB7" w:rsidP="00B04EB7">
      <w:pPr>
        <w:rPr>
          <w:rFonts w:ascii="Calibri" w:hAnsi="Calibri"/>
          <w:sz w:val="22"/>
          <w:szCs w:val="22"/>
        </w:rPr>
      </w:pPr>
    </w:p>
    <w:p w:rsidR="00B04EB7" w:rsidRPr="00D90382" w:rsidRDefault="001A3509" w:rsidP="00B04EB7">
      <w:pPr>
        <w:rPr>
          <w:rFonts w:ascii="Calibri" w:hAnsi="Calibri"/>
          <w:sz w:val="22"/>
          <w:szCs w:val="22"/>
        </w:rPr>
      </w:pPr>
      <w:r>
        <w:rPr>
          <w:rFonts w:ascii="Calibri" w:hAnsi="Calibri"/>
          <w:sz w:val="22"/>
          <w:szCs w:val="22"/>
        </w:rPr>
        <w:t>30 (33</w:t>
      </w:r>
      <w:r w:rsidR="00B04EB7" w:rsidRPr="00D90382">
        <w:rPr>
          <w:rFonts w:ascii="Calibri" w:hAnsi="Calibri"/>
          <w:sz w:val="22"/>
          <w:szCs w:val="22"/>
        </w:rPr>
        <w:t xml:space="preserve">) procent av de </w:t>
      </w:r>
      <w:r w:rsidR="00B04EB7" w:rsidRPr="005B24B5">
        <w:rPr>
          <w:rFonts w:ascii="Calibri" w:hAnsi="Calibri"/>
          <w:sz w:val="22"/>
          <w:szCs w:val="22"/>
        </w:rPr>
        <w:t>tunga bussarna ha</w:t>
      </w:r>
      <w:r w:rsidR="00320A84">
        <w:rPr>
          <w:rFonts w:ascii="Calibri" w:hAnsi="Calibri"/>
          <w:sz w:val="22"/>
          <w:szCs w:val="22"/>
        </w:rPr>
        <w:t>de fel som krävde efterkontroll. Bland dessa kan nämnas att</w:t>
      </w:r>
      <w:r w:rsidR="005B24B5" w:rsidRPr="005B24B5">
        <w:rPr>
          <w:rFonts w:ascii="Calibri" w:hAnsi="Calibri"/>
          <w:sz w:val="22"/>
          <w:szCs w:val="22"/>
        </w:rPr>
        <w:t xml:space="preserve"> 16</w:t>
      </w:r>
      <w:r w:rsidR="00B04EB7" w:rsidRPr="005B24B5">
        <w:rPr>
          <w:rFonts w:ascii="Calibri" w:hAnsi="Calibri"/>
          <w:sz w:val="22"/>
          <w:szCs w:val="22"/>
        </w:rPr>
        <w:t xml:space="preserve"> procent h</w:t>
      </w:r>
      <w:r w:rsidR="005B24B5" w:rsidRPr="005B24B5">
        <w:rPr>
          <w:rFonts w:ascii="Calibri" w:hAnsi="Calibri"/>
          <w:sz w:val="22"/>
          <w:szCs w:val="22"/>
        </w:rPr>
        <w:t>ade brister i bromssystem och 13</w:t>
      </w:r>
      <w:r w:rsidR="00B04EB7" w:rsidRPr="005B24B5">
        <w:rPr>
          <w:rFonts w:ascii="Calibri" w:hAnsi="Calibri"/>
          <w:sz w:val="22"/>
          <w:szCs w:val="22"/>
        </w:rPr>
        <w:t xml:space="preserve"> procent </w:t>
      </w:r>
      <w:r w:rsidR="00320A84">
        <w:rPr>
          <w:rFonts w:ascii="Calibri" w:hAnsi="Calibri"/>
          <w:sz w:val="22"/>
          <w:szCs w:val="22"/>
        </w:rPr>
        <w:t xml:space="preserve">hade </w:t>
      </w:r>
      <w:r w:rsidR="00B04EB7" w:rsidRPr="00D90382">
        <w:rPr>
          <w:rFonts w:ascii="Calibri" w:hAnsi="Calibri"/>
          <w:sz w:val="22"/>
          <w:szCs w:val="22"/>
        </w:rPr>
        <w:t xml:space="preserve">anmärkningar vid brandskyddskontrollen (de flesta på grund av oljeläckage i motorrummet). </w:t>
      </w:r>
    </w:p>
    <w:p w:rsidR="00B04EB7" w:rsidRPr="00D90382" w:rsidRDefault="00B04EB7" w:rsidP="00B04EB7">
      <w:pPr>
        <w:rPr>
          <w:rFonts w:ascii="Calibri" w:hAnsi="Calibri"/>
          <w:sz w:val="22"/>
          <w:szCs w:val="22"/>
        </w:rPr>
      </w:pPr>
    </w:p>
    <w:p w:rsidR="00A052E9" w:rsidRPr="00D90382" w:rsidRDefault="00B04EB7" w:rsidP="00172566">
      <w:pPr>
        <w:rPr>
          <w:rFonts w:ascii="Calibri" w:hAnsi="Calibri"/>
          <w:sz w:val="22"/>
          <w:szCs w:val="22"/>
        </w:rPr>
      </w:pPr>
      <w:r w:rsidRPr="00D90382">
        <w:rPr>
          <w:rFonts w:ascii="Calibri" w:hAnsi="Calibri"/>
          <w:sz w:val="22"/>
          <w:szCs w:val="22"/>
        </w:rPr>
        <w:t>V</w:t>
      </w:r>
      <w:r w:rsidR="006A3731">
        <w:rPr>
          <w:rFonts w:ascii="Calibri" w:hAnsi="Calibri"/>
          <w:sz w:val="22"/>
          <w:szCs w:val="22"/>
        </w:rPr>
        <w:t>i</w:t>
      </w:r>
      <w:r w:rsidR="001A3509">
        <w:rPr>
          <w:rFonts w:ascii="Calibri" w:hAnsi="Calibri"/>
          <w:sz w:val="22"/>
          <w:szCs w:val="22"/>
        </w:rPr>
        <w:t>d</w:t>
      </w:r>
      <w:r w:rsidR="007257E0">
        <w:rPr>
          <w:rFonts w:ascii="Calibri" w:hAnsi="Calibri"/>
          <w:sz w:val="22"/>
          <w:szCs w:val="22"/>
        </w:rPr>
        <w:t xml:space="preserve"> efterkontrollen underkändes 12</w:t>
      </w:r>
      <w:r w:rsidRPr="00D90382">
        <w:rPr>
          <w:rFonts w:ascii="Calibri" w:hAnsi="Calibri"/>
          <w:sz w:val="22"/>
          <w:szCs w:val="22"/>
        </w:rPr>
        <w:t xml:space="preserve"> (13) procent.</w:t>
      </w:r>
      <w:r w:rsidR="0092199F" w:rsidRPr="00D90382">
        <w:rPr>
          <w:rFonts w:ascii="Calibri" w:hAnsi="Calibri"/>
          <w:sz w:val="22"/>
          <w:szCs w:val="22"/>
        </w:rPr>
        <w:t xml:space="preserve"> </w:t>
      </w:r>
    </w:p>
    <w:p w:rsidR="003D56B5" w:rsidRPr="00D90382" w:rsidRDefault="003D56B5" w:rsidP="00172566">
      <w:pPr>
        <w:tabs>
          <w:tab w:val="left" w:pos="7515"/>
        </w:tabs>
        <w:rPr>
          <w:rFonts w:ascii="Calibri" w:hAnsi="Calibri"/>
          <w:b/>
          <w:sz w:val="22"/>
          <w:szCs w:val="22"/>
          <w:lang w:eastAsia="sv-SE"/>
        </w:rPr>
      </w:pPr>
    </w:p>
    <w:p w:rsidR="00EF18CE" w:rsidRPr="00D90382" w:rsidRDefault="00172566" w:rsidP="00172566">
      <w:pPr>
        <w:tabs>
          <w:tab w:val="left" w:pos="7515"/>
        </w:tabs>
        <w:rPr>
          <w:rFonts w:ascii="Calibri" w:hAnsi="Calibri"/>
          <w:b/>
          <w:sz w:val="22"/>
          <w:szCs w:val="22"/>
          <w:lang w:eastAsia="sv-SE"/>
        </w:rPr>
      </w:pPr>
      <w:r w:rsidRPr="00D90382">
        <w:rPr>
          <w:rFonts w:ascii="Calibri" w:hAnsi="Calibri"/>
          <w:b/>
          <w:sz w:val="22"/>
          <w:szCs w:val="22"/>
          <w:lang w:eastAsia="sv-SE"/>
        </w:rPr>
        <w:t>L</w:t>
      </w:r>
      <w:r w:rsidR="007C79F4" w:rsidRPr="00D90382">
        <w:rPr>
          <w:rFonts w:ascii="Calibri" w:hAnsi="Calibri"/>
          <w:b/>
          <w:sz w:val="22"/>
          <w:szCs w:val="22"/>
          <w:lang w:eastAsia="sv-SE"/>
        </w:rPr>
        <w:t>ätta</w:t>
      </w:r>
      <w:r w:rsidR="00EF18CE" w:rsidRPr="00D90382">
        <w:rPr>
          <w:rFonts w:ascii="Calibri" w:hAnsi="Calibri"/>
          <w:b/>
          <w:sz w:val="22"/>
          <w:szCs w:val="22"/>
          <w:lang w:eastAsia="sv-SE"/>
        </w:rPr>
        <w:t xml:space="preserve"> släp</w:t>
      </w:r>
      <w:r w:rsidR="007A7A3C">
        <w:rPr>
          <w:rFonts w:ascii="Calibri" w:hAnsi="Calibri"/>
          <w:b/>
          <w:sz w:val="22"/>
          <w:szCs w:val="22"/>
          <w:lang w:eastAsia="sv-SE"/>
        </w:rPr>
        <w:t>vagnar</w:t>
      </w:r>
    </w:p>
    <w:p w:rsidR="001922A7" w:rsidRPr="00D90382" w:rsidRDefault="001922A7" w:rsidP="001922A7">
      <w:pPr>
        <w:rPr>
          <w:rFonts w:ascii="Calibri" w:hAnsi="Calibri"/>
          <w:sz w:val="22"/>
          <w:szCs w:val="22"/>
        </w:rPr>
      </w:pPr>
      <w:r w:rsidRPr="00D90382">
        <w:rPr>
          <w:rFonts w:ascii="Calibri" w:hAnsi="Calibri"/>
          <w:sz w:val="22"/>
          <w:szCs w:val="22"/>
        </w:rPr>
        <w:t>Lätta släpvagnar kontrollbesiktas första gången efter fy</w:t>
      </w:r>
      <w:r w:rsidR="001A3509">
        <w:rPr>
          <w:rFonts w:ascii="Calibri" w:hAnsi="Calibri"/>
          <w:sz w:val="22"/>
          <w:szCs w:val="22"/>
        </w:rPr>
        <w:t>ra år i trafik och därefter vart</w:t>
      </w:r>
      <w:r w:rsidRPr="00D90382">
        <w:rPr>
          <w:rFonts w:ascii="Calibri" w:hAnsi="Calibri"/>
          <w:sz w:val="22"/>
          <w:szCs w:val="22"/>
        </w:rPr>
        <w:t xml:space="preserve">annat år. </w:t>
      </w:r>
    </w:p>
    <w:p w:rsidR="001922A7" w:rsidRPr="00D90382" w:rsidRDefault="001922A7" w:rsidP="001922A7">
      <w:pPr>
        <w:rPr>
          <w:rFonts w:ascii="Calibri" w:hAnsi="Calibri"/>
          <w:sz w:val="22"/>
          <w:szCs w:val="22"/>
        </w:rPr>
      </w:pPr>
    </w:p>
    <w:p w:rsidR="001922A7" w:rsidRPr="00D90382" w:rsidRDefault="001922A7" w:rsidP="001922A7">
      <w:pPr>
        <w:rPr>
          <w:rFonts w:ascii="Calibri" w:hAnsi="Calibri"/>
          <w:sz w:val="22"/>
          <w:szCs w:val="22"/>
        </w:rPr>
      </w:pPr>
      <w:r w:rsidRPr="00D90382">
        <w:rPr>
          <w:rFonts w:ascii="Calibri" w:hAnsi="Calibri"/>
          <w:sz w:val="22"/>
          <w:szCs w:val="22"/>
        </w:rPr>
        <w:t xml:space="preserve">Bilprovningen kontrollbesiktade </w:t>
      </w:r>
      <w:r w:rsidR="001A3509">
        <w:rPr>
          <w:rFonts w:ascii="Calibri" w:hAnsi="Calibri"/>
          <w:sz w:val="22"/>
          <w:szCs w:val="22"/>
        </w:rPr>
        <w:t>239 711</w:t>
      </w:r>
      <w:r w:rsidRPr="00D90382">
        <w:rPr>
          <w:rFonts w:ascii="Calibri" w:hAnsi="Calibri"/>
          <w:sz w:val="22"/>
          <w:szCs w:val="22"/>
        </w:rPr>
        <w:t xml:space="preserve"> (</w:t>
      </w:r>
      <w:r w:rsidR="001A3509">
        <w:rPr>
          <w:rFonts w:ascii="Calibri" w:hAnsi="Calibri"/>
          <w:sz w:val="22"/>
          <w:szCs w:val="22"/>
        </w:rPr>
        <w:t>244 729) lätta släpvagnar. 62 (61</w:t>
      </w:r>
      <w:r w:rsidRPr="00D90382">
        <w:rPr>
          <w:rFonts w:ascii="Calibri" w:hAnsi="Calibri"/>
          <w:sz w:val="22"/>
          <w:szCs w:val="22"/>
        </w:rPr>
        <w:t xml:space="preserve">) procent godkändes utan anmärkning. </w:t>
      </w:r>
    </w:p>
    <w:p w:rsidR="001922A7" w:rsidRPr="00D90382" w:rsidRDefault="001922A7" w:rsidP="001922A7">
      <w:pPr>
        <w:rPr>
          <w:rFonts w:ascii="Calibri" w:hAnsi="Calibri"/>
          <w:sz w:val="22"/>
          <w:szCs w:val="22"/>
        </w:rPr>
      </w:pPr>
    </w:p>
    <w:p w:rsidR="001922A7" w:rsidRPr="00D90382" w:rsidRDefault="001922A7" w:rsidP="001922A7">
      <w:pPr>
        <w:tabs>
          <w:tab w:val="left" w:pos="7515"/>
        </w:tabs>
        <w:rPr>
          <w:rFonts w:ascii="Calibri" w:hAnsi="Calibri"/>
          <w:b/>
          <w:sz w:val="22"/>
          <w:szCs w:val="22"/>
        </w:rPr>
      </w:pPr>
      <w:r w:rsidRPr="00D90382">
        <w:rPr>
          <w:rFonts w:ascii="Calibri" w:hAnsi="Calibri"/>
          <w:sz w:val="22"/>
          <w:szCs w:val="22"/>
        </w:rPr>
        <w:t xml:space="preserve">Högsta andelen godkända lätta släp hade </w:t>
      </w:r>
      <w:r w:rsidR="00394329">
        <w:rPr>
          <w:rFonts w:ascii="Calibri" w:hAnsi="Calibri"/>
          <w:sz w:val="22"/>
          <w:szCs w:val="22"/>
        </w:rPr>
        <w:t>Gotlands län med 69</w:t>
      </w:r>
      <w:r w:rsidRPr="00D90382">
        <w:rPr>
          <w:rFonts w:ascii="Calibri" w:hAnsi="Calibri"/>
          <w:sz w:val="22"/>
          <w:szCs w:val="22"/>
        </w:rPr>
        <w:t xml:space="preserve"> procent. Lägsta andelen godkända hade Skåne län med 57 procent.  </w:t>
      </w:r>
    </w:p>
    <w:p w:rsidR="001922A7" w:rsidRPr="00D90382" w:rsidRDefault="001922A7" w:rsidP="001922A7">
      <w:pPr>
        <w:rPr>
          <w:rFonts w:ascii="Calibri" w:hAnsi="Calibri"/>
          <w:sz w:val="22"/>
          <w:szCs w:val="22"/>
        </w:rPr>
      </w:pPr>
    </w:p>
    <w:p w:rsidR="001922A7" w:rsidRPr="00D90382" w:rsidRDefault="001922A7" w:rsidP="001922A7">
      <w:pPr>
        <w:rPr>
          <w:rFonts w:ascii="Calibri" w:hAnsi="Calibri"/>
          <w:sz w:val="22"/>
          <w:szCs w:val="22"/>
        </w:rPr>
      </w:pPr>
      <w:r w:rsidRPr="00D90382">
        <w:rPr>
          <w:rFonts w:ascii="Calibri" w:hAnsi="Calibri"/>
          <w:sz w:val="22"/>
          <w:szCs w:val="22"/>
        </w:rPr>
        <w:t xml:space="preserve">25 (24) procent av de lätta </w:t>
      </w:r>
      <w:r w:rsidRPr="004F4B23">
        <w:rPr>
          <w:rFonts w:ascii="Calibri" w:hAnsi="Calibri"/>
          <w:sz w:val="22"/>
          <w:szCs w:val="22"/>
        </w:rPr>
        <w:t xml:space="preserve">släpen underkändes med krav på efterkontroll, framför allt till följd av en eller flera brister i bromssystemet.  De vanligaste orsakerna </w:t>
      </w:r>
      <w:r w:rsidR="004F4B23" w:rsidRPr="004F4B23">
        <w:rPr>
          <w:rFonts w:ascii="Calibri" w:hAnsi="Calibri"/>
          <w:sz w:val="22"/>
          <w:szCs w:val="22"/>
        </w:rPr>
        <w:t xml:space="preserve">är </w:t>
      </w:r>
      <w:r w:rsidRPr="004F4B23">
        <w:rPr>
          <w:rFonts w:ascii="Calibri" w:hAnsi="Calibri"/>
          <w:sz w:val="22"/>
          <w:szCs w:val="22"/>
        </w:rPr>
        <w:t xml:space="preserve">för kort </w:t>
      </w:r>
      <w:proofErr w:type="spellStart"/>
      <w:r w:rsidRPr="004F4B23">
        <w:rPr>
          <w:rFonts w:ascii="Calibri" w:hAnsi="Calibri"/>
          <w:sz w:val="22"/>
          <w:szCs w:val="22"/>
        </w:rPr>
        <w:t>påskjutsreserv</w:t>
      </w:r>
      <w:proofErr w:type="spellEnd"/>
      <w:r w:rsidR="004F4B23" w:rsidRPr="004F4B23">
        <w:rPr>
          <w:rFonts w:ascii="Calibri" w:hAnsi="Calibri"/>
          <w:sz w:val="22"/>
          <w:szCs w:val="22"/>
        </w:rPr>
        <w:t xml:space="preserve"> och ojämn bromsverkan</w:t>
      </w:r>
      <w:r w:rsidRPr="004F4B23">
        <w:rPr>
          <w:rFonts w:ascii="Calibri" w:hAnsi="Calibri"/>
          <w:sz w:val="22"/>
          <w:szCs w:val="22"/>
        </w:rPr>
        <w:t xml:space="preserve">. När </w:t>
      </w:r>
      <w:proofErr w:type="spellStart"/>
      <w:r w:rsidRPr="004F4B23">
        <w:rPr>
          <w:rFonts w:ascii="Calibri" w:hAnsi="Calibri"/>
          <w:sz w:val="22"/>
          <w:szCs w:val="22"/>
        </w:rPr>
        <w:t>påskjutsreserven</w:t>
      </w:r>
      <w:proofErr w:type="spellEnd"/>
      <w:r w:rsidRPr="004F4B23">
        <w:rPr>
          <w:rFonts w:ascii="Calibri" w:hAnsi="Calibri"/>
          <w:sz w:val="22"/>
          <w:szCs w:val="22"/>
        </w:rPr>
        <w:t xml:space="preserve"> är för</w:t>
      </w:r>
      <w:r w:rsidRPr="00D90382">
        <w:rPr>
          <w:rFonts w:ascii="Calibri" w:hAnsi="Calibri"/>
          <w:sz w:val="22"/>
          <w:szCs w:val="22"/>
        </w:rPr>
        <w:t xml:space="preserve"> kort riskerar bromsförmågan att successivt minska för att på sikt försvinna helt. </w:t>
      </w:r>
    </w:p>
    <w:p w:rsidR="001922A7" w:rsidRPr="00D90382" w:rsidRDefault="001922A7" w:rsidP="001922A7">
      <w:pPr>
        <w:rPr>
          <w:rFonts w:ascii="Calibri" w:hAnsi="Calibri"/>
          <w:sz w:val="22"/>
          <w:szCs w:val="22"/>
        </w:rPr>
      </w:pPr>
    </w:p>
    <w:p w:rsidR="001922A7" w:rsidRPr="00D90382" w:rsidRDefault="001922A7" w:rsidP="001922A7">
      <w:pPr>
        <w:rPr>
          <w:rFonts w:ascii="Calibri" w:hAnsi="Calibri"/>
          <w:sz w:val="22"/>
          <w:szCs w:val="22"/>
        </w:rPr>
      </w:pPr>
      <w:r w:rsidRPr="00D90382">
        <w:rPr>
          <w:rFonts w:ascii="Calibri" w:hAnsi="Calibri"/>
          <w:sz w:val="22"/>
          <w:szCs w:val="22"/>
        </w:rPr>
        <w:t>Vid efterkon</w:t>
      </w:r>
      <w:r w:rsidR="006A3731">
        <w:rPr>
          <w:rFonts w:ascii="Calibri" w:hAnsi="Calibri"/>
          <w:sz w:val="22"/>
          <w:szCs w:val="22"/>
        </w:rPr>
        <w:t>trollen underkändes 9</w:t>
      </w:r>
      <w:r w:rsidRPr="00D90382">
        <w:rPr>
          <w:rFonts w:ascii="Calibri" w:hAnsi="Calibri"/>
          <w:sz w:val="22"/>
          <w:szCs w:val="22"/>
        </w:rPr>
        <w:t xml:space="preserve"> (9) procent.</w:t>
      </w:r>
    </w:p>
    <w:p w:rsidR="00010FE8" w:rsidRPr="00D90382" w:rsidRDefault="00010FE8" w:rsidP="00172566">
      <w:pPr>
        <w:tabs>
          <w:tab w:val="left" w:pos="7515"/>
        </w:tabs>
        <w:rPr>
          <w:rFonts w:ascii="Calibri" w:hAnsi="Calibri"/>
          <w:b/>
          <w:sz w:val="22"/>
          <w:szCs w:val="22"/>
          <w:lang w:eastAsia="sv-SE"/>
        </w:rPr>
      </w:pPr>
    </w:p>
    <w:p w:rsidR="00BF572C" w:rsidRPr="00D90382" w:rsidRDefault="00172566" w:rsidP="00172566">
      <w:pPr>
        <w:tabs>
          <w:tab w:val="left" w:pos="7515"/>
        </w:tabs>
        <w:rPr>
          <w:rFonts w:ascii="Calibri" w:hAnsi="Calibri"/>
          <w:b/>
          <w:sz w:val="22"/>
          <w:szCs w:val="22"/>
          <w:lang w:eastAsia="sv-SE"/>
        </w:rPr>
      </w:pPr>
      <w:r w:rsidRPr="00D90382">
        <w:rPr>
          <w:rFonts w:ascii="Calibri" w:hAnsi="Calibri"/>
          <w:b/>
          <w:sz w:val="22"/>
          <w:szCs w:val="22"/>
          <w:lang w:eastAsia="sv-SE"/>
        </w:rPr>
        <w:t>T</w:t>
      </w:r>
      <w:r w:rsidR="007C79F4" w:rsidRPr="00D90382">
        <w:rPr>
          <w:rFonts w:ascii="Calibri" w:hAnsi="Calibri"/>
          <w:b/>
          <w:sz w:val="22"/>
          <w:szCs w:val="22"/>
          <w:lang w:eastAsia="sv-SE"/>
        </w:rPr>
        <w:t>unga</w:t>
      </w:r>
      <w:r w:rsidR="00EF18CE" w:rsidRPr="00D90382">
        <w:rPr>
          <w:rFonts w:ascii="Calibri" w:hAnsi="Calibri"/>
          <w:b/>
          <w:sz w:val="22"/>
          <w:szCs w:val="22"/>
          <w:lang w:eastAsia="sv-SE"/>
        </w:rPr>
        <w:t xml:space="preserve"> släp</w:t>
      </w:r>
      <w:r w:rsidR="007A7A3C">
        <w:rPr>
          <w:rFonts w:ascii="Calibri" w:hAnsi="Calibri"/>
          <w:b/>
          <w:sz w:val="22"/>
          <w:szCs w:val="22"/>
          <w:lang w:eastAsia="sv-SE"/>
        </w:rPr>
        <w:t>vagnar</w:t>
      </w:r>
    </w:p>
    <w:p w:rsidR="007C2A9E" w:rsidRPr="00D90382" w:rsidRDefault="007C2A9E" w:rsidP="00B22F72">
      <w:pPr>
        <w:rPr>
          <w:rFonts w:ascii="Calibri" w:hAnsi="Calibri"/>
          <w:sz w:val="22"/>
          <w:szCs w:val="22"/>
        </w:rPr>
      </w:pPr>
      <w:r w:rsidRPr="00D90382">
        <w:rPr>
          <w:rFonts w:ascii="Calibri" w:hAnsi="Calibri"/>
          <w:sz w:val="22"/>
          <w:szCs w:val="22"/>
        </w:rPr>
        <w:t>Tunga släp</w:t>
      </w:r>
      <w:r w:rsidR="007A7A3C">
        <w:rPr>
          <w:rFonts w:ascii="Calibri" w:hAnsi="Calibri"/>
          <w:sz w:val="22"/>
          <w:szCs w:val="22"/>
        </w:rPr>
        <w:t>vagnar</w:t>
      </w:r>
      <w:r w:rsidRPr="00D90382">
        <w:rPr>
          <w:rFonts w:ascii="Calibri" w:hAnsi="Calibri"/>
          <w:sz w:val="22"/>
          <w:szCs w:val="22"/>
        </w:rPr>
        <w:t xml:space="preserve"> kontrollbesiktas första gången efter ett år i trafik och därefter </w:t>
      </w:r>
      <w:r w:rsidR="00153421">
        <w:rPr>
          <w:rFonts w:ascii="Calibri" w:hAnsi="Calibri"/>
          <w:sz w:val="22"/>
          <w:szCs w:val="22"/>
        </w:rPr>
        <w:t>årligen</w:t>
      </w:r>
      <w:r w:rsidRPr="00D90382">
        <w:rPr>
          <w:rFonts w:ascii="Calibri" w:hAnsi="Calibri"/>
          <w:sz w:val="22"/>
          <w:szCs w:val="22"/>
        </w:rPr>
        <w:t xml:space="preserve">. </w:t>
      </w:r>
    </w:p>
    <w:p w:rsidR="007C2A9E" w:rsidRPr="00D90382" w:rsidRDefault="007C2A9E" w:rsidP="00B22F72">
      <w:pPr>
        <w:rPr>
          <w:rFonts w:ascii="Calibri" w:hAnsi="Calibri"/>
          <w:sz w:val="22"/>
          <w:szCs w:val="22"/>
        </w:rPr>
      </w:pPr>
    </w:p>
    <w:p w:rsidR="00B22F72" w:rsidRPr="00D90382" w:rsidRDefault="00B22F72" w:rsidP="00B22F72">
      <w:pPr>
        <w:rPr>
          <w:rFonts w:ascii="Calibri" w:hAnsi="Calibri"/>
          <w:sz w:val="22"/>
          <w:szCs w:val="22"/>
        </w:rPr>
      </w:pPr>
      <w:r w:rsidRPr="00D90382">
        <w:rPr>
          <w:rFonts w:ascii="Calibri" w:hAnsi="Calibri"/>
          <w:sz w:val="22"/>
          <w:szCs w:val="22"/>
        </w:rPr>
        <w:t xml:space="preserve">Bilprovningen kontrollbesiktade </w:t>
      </w:r>
      <w:r w:rsidR="00281EF9">
        <w:rPr>
          <w:rFonts w:ascii="Calibri" w:hAnsi="Calibri"/>
          <w:sz w:val="22"/>
          <w:szCs w:val="22"/>
        </w:rPr>
        <w:t>43 376</w:t>
      </w:r>
      <w:r w:rsidRPr="00D90382">
        <w:rPr>
          <w:rFonts w:ascii="Calibri" w:hAnsi="Calibri"/>
          <w:sz w:val="22"/>
          <w:szCs w:val="22"/>
        </w:rPr>
        <w:t xml:space="preserve"> (</w:t>
      </w:r>
      <w:r w:rsidR="00281EF9">
        <w:rPr>
          <w:rFonts w:ascii="Calibri" w:hAnsi="Calibri"/>
          <w:sz w:val="22"/>
          <w:szCs w:val="22"/>
        </w:rPr>
        <w:t>45 735</w:t>
      </w:r>
      <w:r w:rsidRPr="00D90382">
        <w:rPr>
          <w:rFonts w:ascii="Calibri" w:hAnsi="Calibri"/>
          <w:sz w:val="22"/>
          <w:szCs w:val="22"/>
        </w:rPr>
        <w:t xml:space="preserve">) tunga släpvagnar </w:t>
      </w:r>
      <w:r w:rsidR="00281EF9">
        <w:rPr>
          <w:rFonts w:ascii="Calibri" w:hAnsi="Calibri"/>
          <w:sz w:val="22"/>
          <w:szCs w:val="22"/>
        </w:rPr>
        <w:t>(totalvikt över 3,5 ton). 38 (37</w:t>
      </w:r>
      <w:r w:rsidRPr="00D90382">
        <w:rPr>
          <w:rFonts w:ascii="Calibri" w:hAnsi="Calibri"/>
          <w:sz w:val="22"/>
          <w:szCs w:val="22"/>
        </w:rPr>
        <w:t xml:space="preserve">) procent godkändes utan anmärkning. </w:t>
      </w:r>
    </w:p>
    <w:p w:rsidR="00B22F72" w:rsidRPr="00D90382" w:rsidRDefault="00B22F72" w:rsidP="00B22F72">
      <w:pPr>
        <w:rPr>
          <w:rFonts w:ascii="Calibri" w:hAnsi="Calibri"/>
          <w:sz w:val="22"/>
          <w:szCs w:val="22"/>
        </w:rPr>
      </w:pPr>
    </w:p>
    <w:p w:rsidR="00B22F72" w:rsidRPr="00D90382" w:rsidRDefault="00B22F72" w:rsidP="00374474">
      <w:pPr>
        <w:rPr>
          <w:rFonts w:ascii="Calibri" w:hAnsi="Calibri"/>
          <w:sz w:val="22"/>
          <w:szCs w:val="22"/>
        </w:rPr>
      </w:pPr>
      <w:r w:rsidRPr="00D90382">
        <w:rPr>
          <w:rFonts w:ascii="Calibri" w:hAnsi="Calibri"/>
          <w:sz w:val="22"/>
          <w:szCs w:val="22"/>
        </w:rPr>
        <w:t>Släpvagnar har färre kontrollpunkter än motordrivna fordon</w:t>
      </w:r>
      <w:r w:rsidR="00281EF9">
        <w:rPr>
          <w:rFonts w:ascii="Calibri" w:hAnsi="Calibri"/>
          <w:sz w:val="22"/>
          <w:szCs w:val="22"/>
        </w:rPr>
        <w:t>. Ändå är andelen underkända tunga släpvagnar (62</w:t>
      </w:r>
      <w:r w:rsidRPr="00D90382">
        <w:rPr>
          <w:rFonts w:ascii="Calibri" w:hAnsi="Calibri"/>
          <w:sz w:val="22"/>
          <w:szCs w:val="22"/>
        </w:rPr>
        <w:t xml:space="preserve"> procent) högre än för </w:t>
      </w:r>
      <w:r w:rsidR="00374474">
        <w:rPr>
          <w:rFonts w:ascii="Calibri" w:hAnsi="Calibri"/>
          <w:sz w:val="22"/>
          <w:szCs w:val="22"/>
        </w:rPr>
        <w:t>många andra</w:t>
      </w:r>
      <w:r w:rsidRPr="00D90382">
        <w:rPr>
          <w:rFonts w:ascii="Calibri" w:hAnsi="Calibri"/>
          <w:sz w:val="22"/>
          <w:szCs w:val="22"/>
        </w:rPr>
        <w:t xml:space="preserve"> fordonsslag. </w:t>
      </w:r>
    </w:p>
    <w:p w:rsidR="00B22F72" w:rsidRPr="00D90382" w:rsidRDefault="00B22F72" w:rsidP="00B22F72">
      <w:pPr>
        <w:rPr>
          <w:rFonts w:ascii="Calibri" w:hAnsi="Calibri"/>
          <w:sz w:val="22"/>
          <w:szCs w:val="22"/>
        </w:rPr>
      </w:pPr>
    </w:p>
    <w:p w:rsidR="00B22F72" w:rsidRPr="00D90382" w:rsidRDefault="00B22F72" w:rsidP="00B22F72">
      <w:pPr>
        <w:tabs>
          <w:tab w:val="left" w:pos="7515"/>
        </w:tabs>
        <w:rPr>
          <w:rFonts w:ascii="Calibri" w:hAnsi="Calibri"/>
          <w:b/>
          <w:sz w:val="22"/>
          <w:szCs w:val="22"/>
        </w:rPr>
      </w:pPr>
      <w:r w:rsidRPr="00D90382">
        <w:rPr>
          <w:rFonts w:ascii="Calibri" w:hAnsi="Calibri"/>
          <w:sz w:val="22"/>
          <w:szCs w:val="22"/>
        </w:rPr>
        <w:t xml:space="preserve">Högsta andelen godkända </w:t>
      </w:r>
      <w:r w:rsidR="00281EF9">
        <w:rPr>
          <w:rFonts w:ascii="Calibri" w:hAnsi="Calibri"/>
          <w:sz w:val="22"/>
          <w:szCs w:val="22"/>
        </w:rPr>
        <w:t>tunga släp hade Skåne län med 48</w:t>
      </w:r>
      <w:r w:rsidRPr="00D90382">
        <w:rPr>
          <w:rFonts w:ascii="Calibri" w:hAnsi="Calibri"/>
          <w:sz w:val="22"/>
          <w:szCs w:val="22"/>
        </w:rPr>
        <w:t xml:space="preserve"> procent. Lägsta andelen god</w:t>
      </w:r>
      <w:r w:rsidR="00281EF9">
        <w:rPr>
          <w:rFonts w:ascii="Calibri" w:hAnsi="Calibri"/>
          <w:sz w:val="22"/>
          <w:szCs w:val="22"/>
        </w:rPr>
        <w:t>kända hade Gävleborgs län med 25</w:t>
      </w:r>
      <w:r w:rsidRPr="00D90382">
        <w:rPr>
          <w:rFonts w:ascii="Calibri" w:hAnsi="Calibri"/>
          <w:sz w:val="22"/>
          <w:szCs w:val="22"/>
        </w:rPr>
        <w:t xml:space="preserve"> procent.  </w:t>
      </w:r>
    </w:p>
    <w:p w:rsidR="00B22F72" w:rsidRPr="00D90382" w:rsidRDefault="00B22F72" w:rsidP="00B22F72">
      <w:pPr>
        <w:rPr>
          <w:rFonts w:ascii="Calibri" w:hAnsi="Calibri"/>
          <w:sz w:val="22"/>
          <w:szCs w:val="22"/>
        </w:rPr>
      </w:pPr>
    </w:p>
    <w:p w:rsidR="00B22F72" w:rsidRPr="00D90382" w:rsidRDefault="00281EF9" w:rsidP="00B22F72">
      <w:pPr>
        <w:rPr>
          <w:rFonts w:ascii="Calibri" w:hAnsi="Calibri"/>
          <w:sz w:val="22"/>
          <w:szCs w:val="22"/>
        </w:rPr>
      </w:pPr>
      <w:r>
        <w:rPr>
          <w:rFonts w:ascii="Calibri" w:hAnsi="Calibri"/>
          <w:sz w:val="22"/>
          <w:szCs w:val="22"/>
        </w:rPr>
        <w:t>49 (50</w:t>
      </w:r>
      <w:r w:rsidR="00B22F72" w:rsidRPr="00D90382">
        <w:rPr>
          <w:rFonts w:ascii="Calibri" w:hAnsi="Calibri"/>
          <w:sz w:val="22"/>
          <w:szCs w:val="22"/>
        </w:rPr>
        <w:t>) procent underkändes med krav på efterkontroll.</w:t>
      </w:r>
      <w:r w:rsidR="004F4B23">
        <w:rPr>
          <w:rFonts w:ascii="Calibri" w:hAnsi="Calibri"/>
          <w:sz w:val="22"/>
          <w:szCs w:val="22"/>
        </w:rPr>
        <w:t xml:space="preserve"> 41 procent</w:t>
      </w:r>
      <w:r w:rsidR="00B22F72" w:rsidRPr="00D90382">
        <w:rPr>
          <w:rFonts w:ascii="Calibri" w:hAnsi="Calibri"/>
          <w:sz w:val="22"/>
          <w:szCs w:val="22"/>
        </w:rPr>
        <w:t xml:space="preserve"> hade brister i bromssystemet. Vanliga fel var ojämn bromsverkan, otillräcklig bromsförmåga samt transmission (skadade bromsslangar, brister i länksystem, bromshävarm m.m</w:t>
      </w:r>
      <w:r w:rsidR="00B22F72" w:rsidRPr="004F4B23">
        <w:rPr>
          <w:rFonts w:ascii="Calibri" w:hAnsi="Calibri"/>
          <w:sz w:val="22"/>
          <w:szCs w:val="22"/>
        </w:rPr>
        <w:t xml:space="preserve">.). </w:t>
      </w:r>
      <w:r w:rsidR="004F4B23" w:rsidRPr="004F4B23">
        <w:rPr>
          <w:rFonts w:ascii="Calibri" w:hAnsi="Calibri"/>
          <w:sz w:val="22"/>
          <w:szCs w:val="22"/>
        </w:rPr>
        <w:t xml:space="preserve">19 procent </w:t>
      </w:r>
      <w:r w:rsidR="00B22F72" w:rsidRPr="004F4B23">
        <w:rPr>
          <w:rFonts w:ascii="Calibri" w:hAnsi="Calibri"/>
          <w:sz w:val="22"/>
          <w:szCs w:val="22"/>
        </w:rPr>
        <w:t>underkändes</w:t>
      </w:r>
      <w:r w:rsidR="00B22F72" w:rsidRPr="00D90382">
        <w:rPr>
          <w:rFonts w:ascii="Calibri" w:hAnsi="Calibri"/>
          <w:sz w:val="22"/>
          <w:szCs w:val="22"/>
        </w:rPr>
        <w:t xml:space="preserve"> på grund av brister i hjulsystem.</w:t>
      </w:r>
    </w:p>
    <w:p w:rsidR="00B22F72" w:rsidRPr="00D90382" w:rsidRDefault="00B22F72" w:rsidP="00B22F72">
      <w:pPr>
        <w:rPr>
          <w:rFonts w:ascii="Calibri" w:hAnsi="Calibri"/>
          <w:sz w:val="22"/>
          <w:szCs w:val="22"/>
        </w:rPr>
      </w:pPr>
    </w:p>
    <w:p w:rsidR="00B22F72" w:rsidRDefault="00E95C29" w:rsidP="001D7658">
      <w:pPr>
        <w:rPr>
          <w:rFonts w:ascii="Calibri" w:hAnsi="Calibri"/>
          <w:sz w:val="22"/>
          <w:szCs w:val="22"/>
        </w:rPr>
      </w:pPr>
      <w:bookmarkStart w:id="3" w:name="OLE_LINK4"/>
      <w:bookmarkStart w:id="4" w:name="OLE_LINK5"/>
      <w:r>
        <w:rPr>
          <w:rFonts w:ascii="Calibri" w:hAnsi="Calibri"/>
          <w:sz w:val="22"/>
          <w:szCs w:val="22"/>
        </w:rPr>
        <w:t xml:space="preserve">Anmärkningsvärt är att </w:t>
      </w:r>
      <w:r w:rsidR="00281EF9">
        <w:rPr>
          <w:rFonts w:ascii="Calibri" w:hAnsi="Calibri"/>
          <w:sz w:val="22"/>
          <w:szCs w:val="22"/>
        </w:rPr>
        <w:t>4,6 (5,2</w:t>
      </w:r>
      <w:r w:rsidR="00B22F72" w:rsidRPr="00D90382">
        <w:rPr>
          <w:rFonts w:ascii="Calibri" w:hAnsi="Calibri"/>
          <w:sz w:val="22"/>
          <w:szCs w:val="22"/>
        </w:rPr>
        <w:t xml:space="preserve">) procent </w:t>
      </w:r>
      <w:r w:rsidR="007A7A3C">
        <w:rPr>
          <w:rFonts w:ascii="Calibri" w:hAnsi="Calibri"/>
          <w:sz w:val="22"/>
          <w:szCs w:val="22"/>
        </w:rPr>
        <w:t xml:space="preserve">fick </w:t>
      </w:r>
      <w:r w:rsidR="00B22F72" w:rsidRPr="00D90382">
        <w:rPr>
          <w:rFonts w:ascii="Calibri" w:hAnsi="Calibri"/>
          <w:sz w:val="22"/>
          <w:szCs w:val="22"/>
        </w:rPr>
        <w:t>körförbud.</w:t>
      </w:r>
      <w:r w:rsidR="007A7A3C">
        <w:rPr>
          <w:rFonts w:ascii="Calibri" w:hAnsi="Calibri"/>
          <w:sz w:val="22"/>
          <w:szCs w:val="22"/>
        </w:rPr>
        <w:t xml:space="preserve"> </w:t>
      </w:r>
      <w:r w:rsidR="006C7EFE">
        <w:rPr>
          <w:rFonts w:ascii="Calibri" w:hAnsi="Calibri"/>
          <w:sz w:val="22"/>
          <w:szCs w:val="22"/>
        </w:rPr>
        <w:t>En övervägande del</w:t>
      </w:r>
      <w:r w:rsidR="007A7A3C">
        <w:rPr>
          <w:rFonts w:ascii="Calibri" w:hAnsi="Calibri"/>
          <w:sz w:val="22"/>
          <w:szCs w:val="22"/>
        </w:rPr>
        <w:t xml:space="preserve"> </w:t>
      </w:r>
      <w:r w:rsidR="007A7A3C" w:rsidRPr="006C7EFE">
        <w:rPr>
          <w:rFonts w:ascii="Calibri" w:hAnsi="Calibri"/>
          <w:sz w:val="22"/>
          <w:szCs w:val="22"/>
        </w:rPr>
        <w:t>(</w:t>
      </w:r>
      <w:r w:rsidR="006C7EFE" w:rsidRPr="006C7EFE">
        <w:rPr>
          <w:rFonts w:ascii="Calibri" w:hAnsi="Calibri"/>
          <w:sz w:val="22"/>
          <w:szCs w:val="22"/>
        </w:rPr>
        <w:t>89</w:t>
      </w:r>
      <w:r w:rsidR="007A7A3C" w:rsidRPr="006C7EFE">
        <w:rPr>
          <w:rFonts w:ascii="Calibri" w:hAnsi="Calibri"/>
          <w:sz w:val="22"/>
          <w:szCs w:val="22"/>
        </w:rPr>
        <w:t xml:space="preserve"> procent)</w:t>
      </w:r>
      <w:r w:rsidR="007A7A3C" w:rsidRPr="00D90382">
        <w:rPr>
          <w:rFonts w:ascii="Calibri" w:hAnsi="Calibri"/>
          <w:sz w:val="22"/>
          <w:szCs w:val="22"/>
        </w:rPr>
        <w:t xml:space="preserve"> </w:t>
      </w:r>
      <w:r>
        <w:rPr>
          <w:rFonts w:ascii="Calibri" w:hAnsi="Calibri"/>
          <w:sz w:val="22"/>
          <w:szCs w:val="22"/>
        </w:rPr>
        <w:t>av dessa berodde på</w:t>
      </w:r>
      <w:r w:rsidR="007A7A3C" w:rsidRPr="00D90382">
        <w:rPr>
          <w:rFonts w:ascii="Calibri" w:hAnsi="Calibri"/>
          <w:sz w:val="22"/>
          <w:szCs w:val="22"/>
        </w:rPr>
        <w:t xml:space="preserve"> </w:t>
      </w:r>
      <w:r w:rsidR="001D7658">
        <w:rPr>
          <w:rFonts w:ascii="Calibri" w:hAnsi="Calibri"/>
          <w:sz w:val="22"/>
          <w:szCs w:val="22"/>
        </w:rPr>
        <w:t>otillräcklig bromskraft (retardation)</w:t>
      </w:r>
      <w:r w:rsidR="007A7A3C" w:rsidRPr="00D90382">
        <w:rPr>
          <w:rFonts w:ascii="Calibri" w:hAnsi="Calibri"/>
          <w:sz w:val="22"/>
          <w:szCs w:val="22"/>
        </w:rPr>
        <w:t xml:space="preserve">. </w:t>
      </w:r>
    </w:p>
    <w:p w:rsidR="001D7658" w:rsidRDefault="001D7658" w:rsidP="00E95C29">
      <w:pPr>
        <w:rPr>
          <w:rFonts w:ascii="Calibri" w:hAnsi="Calibri"/>
          <w:sz w:val="22"/>
          <w:szCs w:val="22"/>
        </w:rPr>
      </w:pPr>
    </w:p>
    <w:p w:rsidR="001D7658" w:rsidRPr="007A7A3C" w:rsidRDefault="007257E0" w:rsidP="001D7658">
      <w:pPr>
        <w:rPr>
          <w:rFonts w:ascii="Calibri" w:hAnsi="Calibri"/>
          <w:sz w:val="22"/>
          <w:szCs w:val="22"/>
        </w:rPr>
      </w:pPr>
      <w:r>
        <w:rPr>
          <w:rFonts w:ascii="Calibri" w:hAnsi="Calibri"/>
          <w:sz w:val="22"/>
          <w:szCs w:val="22"/>
        </w:rPr>
        <w:t>Så många som 25</w:t>
      </w:r>
      <w:r w:rsidR="00281EF9">
        <w:rPr>
          <w:rFonts w:ascii="Calibri" w:hAnsi="Calibri"/>
          <w:sz w:val="22"/>
          <w:szCs w:val="22"/>
        </w:rPr>
        <w:t xml:space="preserve"> (26</w:t>
      </w:r>
      <w:r w:rsidR="001D7658" w:rsidRPr="00D90382">
        <w:rPr>
          <w:rFonts w:ascii="Calibri" w:hAnsi="Calibri"/>
          <w:sz w:val="22"/>
          <w:szCs w:val="22"/>
        </w:rPr>
        <w:t xml:space="preserve">) procent underkändes även vid efterkontrollen. </w:t>
      </w:r>
    </w:p>
    <w:bookmarkEnd w:id="3"/>
    <w:bookmarkEnd w:id="4"/>
    <w:p w:rsidR="00A1431B" w:rsidRPr="00D90382" w:rsidRDefault="00A1431B" w:rsidP="00172566">
      <w:pPr>
        <w:tabs>
          <w:tab w:val="left" w:pos="7515"/>
        </w:tabs>
        <w:rPr>
          <w:rFonts w:ascii="Calibri" w:hAnsi="Calibri"/>
          <w:b/>
          <w:sz w:val="22"/>
          <w:szCs w:val="22"/>
          <w:lang w:eastAsia="sv-SE"/>
        </w:rPr>
      </w:pPr>
    </w:p>
    <w:p w:rsidR="00EF18CE" w:rsidRPr="00D90382" w:rsidRDefault="00172566" w:rsidP="00172566">
      <w:pPr>
        <w:tabs>
          <w:tab w:val="left" w:pos="7515"/>
        </w:tabs>
        <w:rPr>
          <w:rFonts w:ascii="Calibri" w:hAnsi="Calibri"/>
          <w:b/>
          <w:sz w:val="22"/>
          <w:szCs w:val="22"/>
          <w:lang w:eastAsia="sv-SE"/>
        </w:rPr>
      </w:pPr>
      <w:r w:rsidRPr="00D90382">
        <w:rPr>
          <w:rFonts w:ascii="Calibri" w:hAnsi="Calibri"/>
          <w:b/>
          <w:sz w:val="22"/>
          <w:szCs w:val="22"/>
          <w:lang w:eastAsia="sv-SE"/>
        </w:rPr>
        <w:t>H</w:t>
      </w:r>
      <w:r w:rsidR="007C79F4" w:rsidRPr="00D90382">
        <w:rPr>
          <w:rFonts w:ascii="Calibri" w:hAnsi="Calibri"/>
          <w:b/>
          <w:sz w:val="22"/>
          <w:szCs w:val="22"/>
          <w:lang w:eastAsia="sv-SE"/>
        </w:rPr>
        <w:t>usvagnar</w:t>
      </w:r>
    </w:p>
    <w:p w:rsidR="00713D4E" w:rsidRPr="00D90382" w:rsidRDefault="00713D4E" w:rsidP="00713D4E">
      <w:pPr>
        <w:rPr>
          <w:rFonts w:ascii="Calibri" w:hAnsi="Calibri"/>
          <w:sz w:val="22"/>
          <w:szCs w:val="22"/>
        </w:rPr>
      </w:pPr>
      <w:r w:rsidRPr="00D90382">
        <w:rPr>
          <w:rFonts w:ascii="Calibri" w:hAnsi="Calibri"/>
          <w:sz w:val="22"/>
          <w:szCs w:val="22"/>
        </w:rPr>
        <w:t xml:space="preserve">Husvagnar kontrollbesiktas första gången efter fyra år i trafik och därefter vartannat år. </w:t>
      </w:r>
    </w:p>
    <w:p w:rsidR="00713D4E" w:rsidRPr="00D90382" w:rsidRDefault="00713D4E" w:rsidP="004E6CDD">
      <w:pPr>
        <w:rPr>
          <w:rFonts w:ascii="Calibri" w:hAnsi="Calibri"/>
          <w:sz w:val="22"/>
          <w:szCs w:val="22"/>
        </w:rPr>
      </w:pPr>
    </w:p>
    <w:p w:rsidR="004E6CDD" w:rsidRPr="00D90382" w:rsidRDefault="004E6CDD" w:rsidP="004E6CDD">
      <w:pPr>
        <w:rPr>
          <w:rFonts w:ascii="Calibri" w:hAnsi="Calibri"/>
          <w:sz w:val="22"/>
          <w:szCs w:val="22"/>
        </w:rPr>
      </w:pPr>
      <w:r w:rsidRPr="00D90382">
        <w:rPr>
          <w:rFonts w:ascii="Calibri" w:hAnsi="Calibri"/>
          <w:sz w:val="22"/>
          <w:szCs w:val="22"/>
        </w:rPr>
        <w:t xml:space="preserve">Bilprovningen kontrollbesiktade </w:t>
      </w:r>
      <w:r w:rsidR="001E38F4">
        <w:rPr>
          <w:rFonts w:ascii="Calibri" w:hAnsi="Calibri"/>
          <w:sz w:val="22"/>
          <w:szCs w:val="22"/>
        </w:rPr>
        <w:t>67 978</w:t>
      </w:r>
      <w:r w:rsidRPr="00D90382">
        <w:rPr>
          <w:rFonts w:ascii="Calibri" w:hAnsi="Calibri"/>
          <w:sz w:val="22"/>
          <w:szCs w:val="22"/>
        </w:rPr>
        <w:t xml:space="preserve"> (</w:t>
      </w:r>
      <w:r w:rsidR="001E38F4">
        <w:rPr>
          <w:rFonts w:ascii="Calibri" w:hAnsi="Calibri"/>
          <w:sz w:val="22"/>
          <w:szCs w:val="22"/>
        </w:rPr>
        <w:t>78 388) husvagnar.  72 (74</w:t>
      </w:r>
      <w:r w:rsidRPr="00D90382">
        <w:rPr>
          <w:rFonts w:ascii="Calibri" w:hAnsi="Calibri"/>
          <w:sz w:val="22"/>
          <w:szCs w:val="22"/>
        </w:rPr>
        <w:t xml:space="preserve">) procent godkändes utan anmärkning. </w:t>
      </w:r>
    </w:p>
    <w:p w:rsidR="004E6CDD" w:rsidRPr="00D90382" w:rsidRDefault="004E6CDD" w:rsidP="004E6CDD">
      <w:pPr>
        <w:rPr>
          <w:rFonts w:ascii="Calibri" w:hAnsi="Calibri"/>
          <w:sz w:val="22"/>
          <w:szCs w:val="22"/>
        </w:rPr>
      </w:pPr>
    </w:p>
    <w:p w:rsidR="004E6CDD" w:rsidRPr="00D90382" w:rsidRDefault="004E6CDD" w:rsidP="004E6CDD">
      <w:pPr>
        <w:tabs>
          <w:tab w:val="left" w:pos="7515"/>
        </w:tabs>
        <w:rPr>
          <w:rFonts w:ascii="Calibri" w:hAnsi="Calibri"/>
          <w:b/>
          <w:sz w:val="22"/>
          <w:szCs w:val="22"/>
        </w:rPr>
      </w:pPr>
      <w:r w:rsidRPr="00D90382">
        <w:rPr>
          <w:rFonts w:ascii="Calibri" w:hAnsi="Calibri"/>
          <w:sz w:val="22"/>
          <w:szCs w:val="22"/>
        </w:rPr>
        <w:t xml:space="preserve">Högsta andelen godkända husvagnar hade Jämtlands </w:t>
      </w:r>
      <w:r w:rsidR="00362178">
        <w:rPr>
          <w:rFonts w:ascii="Calibri" w:hAnsi="Calibri"/>
          <w:sz w:val="22"/>
          <w:szCs w:val="22"/>
        </w:rPr>
        <w:t>län med 79</w:t>
      </w:r>
      <w:r w:rsidRPr="00D90382">
        <w:rPr>
          <w:rFonts w:ascii="Calibri" w:hAnsi="Calibri"/>
          <w:sz w:val="22"/>
          <w:szCs w:val="22"/>
        </w:rPr>
        <w:t xml:space="preserve"> procent. Lägsta andelen godkända hade </w:t>
      </w:r>
      <w:r w:rsidR="00362178">
        <w:rPr>
          <w:rFonts w:ascii="Calibri" w:hAnsi="Calibri"/>
          <w:sz w:val="22"/>
          <w:szCs w:val="22"/>
        </w:rPr>
        <w:t xml:space="preserve">Stockholms län med 67 </w:t>
      </w:r>
      <w:r w:rsidRPr="00D90382">
        <w:rPr>
          <w:rFonts w:ascii="Calibri" w:hAnsi="Calibri"/>
          <w:sz w:val="22"/>
          <w:szCs w:val="22"/>
        </w:rPr>
        <w:t xml:space="preserve">procent.  </w:t>
      </w:r>
    </w:p>
    <w:p w:rsidR="004E6CDD" w:rsidRPr="00D90382" w:rsidRDefault="004E6CDD" w:rsidP="004E6CDD">
      <w:pPr>
        <w:rPr>
          <w:rFonts w:ascii="Calibri" w:hAnsi="Calibri"/>
          <w:sz w:val="22"/>
          <w:szCs w:val="22"/>
        </w:rPr>
      </w:pPr>
    </w:p>
    <w:p w:rsidR="004E6CDD" w:rsidRPr="00D90382" w:rsidRDefault="00117FC5" w:rsidP="004E6CDD">
      <w:pPr>
        <w:rPr>
          <w:rFonts w:ascii="Calibri" w:hAnsi="Calibri"/>
          <w:sz w:val="22"/>
          <w:szCs w:val="22"/>
        </w:rPr>
      </w:pPr>
      <w:r>
        <w:rPr>
          <w:rFonts w:ascii="Calibri" w:hAnsi="Calibri"/>
          <w:sz w:val="22"/>
          <w:szCs w:val="22"/>
        </w:rPr>
        <w:t>19</w:t>
      </w:r>
      <w:r w:rsidR="004E6CDD" w:rsidRPr="00D90382">
        <w:rPr>
          <w:rFonts w:ascii="Calibri" w:hAnsi="Calibri"/>
          <w:sz w:val="22"/>
          <w:szCs w:val="22"/>
        </w:rPr>
        <w:t xml:space="preserve"> (1</w:t>
      </w:r>
      <w:r>
        <w:rPr>
          <w:rFonts w:ascii="Calibri" w:hAnsi="Calibri"/>
          <w:sz w:val="22"/>
          <w:szCs w:val="22"/>
        </w:rPr>
        <w:t>7</w:t>
      </w:r>
      <w:r w:rsidR="004E6CDD" w:rsidRPr="00D90382">
        <w:rPr>
          <w:rFonts w:ascii="Calibri" w:hAnsi="Calibri"/>
          <w:sz w:val="22"/>
          <w:szCs w:val="22"/>
        </w:rPr>
        <w:t xml:space="preserve">) procent med underkändes krav på </w:t>
      </w:r>
      <w:r w:rsidR="004E6CDD" w:rsidRPr="007C1001">
        <w:rPr>
          <w:rFonts w:ascii="Calibri" w:hAnsi="Calibri"/>
          <w:sz w:val="22"/>
          <w:szCs w:val="22"/>
        </w:rPr>
        <w:t>efterkontroll. Av dessa underkändes 1</w:t>
      </w:r>
      <w:r w:rsidR="007C1001" w:rsidRPr="007C1001">
        <w:rPr>
          <w:rFonts w:ascii="Calibri" w:hAnsi="Calibri"/>
          <w:sz w:val="22"/>
          <w:szCs w:val="22"/>
        </w:rPr>
        <w:t>4</w:t>
      </w:r>
      <w:r w:rsidR="004E6CDD" w:rsidRPr="007C1001">
        <w:rPr>
          <w:rFonts w:ascii="Calibri" w:hAnsi="Calibri"/>
          <w:sz w:val="22"/>
          <w:szCs w:val="22"/>
        </w:rPr>
        <w:t xml:space="preserve"> procent på grund av brister i bromssystemet, främst till följd av ojämn bromsverkan och kort </w:t>
      </w:r>
      <w:proofErr w:type="spellStart"/>
      <w:r w:rsidR="004E6CDD" w:rsidRPr="007C1001">
        <w:rPr>
          <w:rFonts w:ascii="Calibri" w:hAnsi="Calibri"/>
          <w:sz w:val="22"/>
          <w:szCs w:val="22"/>
        </w:rPr>
        <w:t>påskjutsreserv</w:t>
      </w:r>
      <w:proofErr w:type="spellEnd"/>
      <w:r w:rsidR="004E6CDD" w:rsidRPr="007C1001">
        <w:rPr>
          <w:rFonts w:ascii="Calibri" w:hAnsi="Calibri"/>
          <w:sz w:val="22"/>
          <w:szCs w:val="22"/>
        </w:rPr>
        <w:t>.</w:t>
      </w:r>
    </w:p>
    <w:p w:rsidR="004E6CDD" w:rsidRPr="00D90382" w:rsidRDefault="004E6CDD" w:rsidP="004E6CDD">
      <w:pPr>
        <w:rPr>
          <w:rFonts w:ascii="Calibri" w:hAnsi="Calibri"/>
          <w:sz w:val="22"/>
          <w:szCs w:val="22"/>
        </w:rPr>
      </w:pPr>
    </w:p>
    <w:p w:rsidR="004E6CDD" w:rsidRPr="00D90382" w:rsidRDefault="004E6CDD" w:rsidP="004E6CDD">
      <w:pPr>
        <w:rPr>
          <w:rFonts w:ascii="Calibri" w:hAnsi="Calibri"/>
          <w:sz w:val="22"/>
          <w:szCs w:val="22"/>
        </w:rPr>
      </w:pPr>
      <w:r w:rsidRPr="00D90382">
        <w:rPr>
          <w:rFonts w:ascii="Calibri" w:hAnsi="Calibri"/>
          <w:sz w:val="22"/>
          <w:szCs w:val="22"/>
        </w:rPr>
        <w:t>Vid efterkontr</w:t>
      </w:r>
      <w:r w:rsidR="007257E0">
        <w:rPr>
          <w:rFonts w:ascii="Calibri" w:hAnsi="Calibri"/>
          <w:sz w:val="22"/>
          <w:szCs w:val="22"/>
        </w:rPr>
        <w:t>ollen underkändes 13</w:t>
      </w:r>
      <w:r w:rsidR="006A3731">
        <w:rPr>
          <w:rFonts w:ascii="Calibri" w:hAnsi="Calibri"/>
          <w:sz w:val="22"/>
          <w:szCs w:val="22"/>
        </w:rPr>
        <w:t xml:space="preserve"> </w:t>
      </w:r>
      <w:r w:rsidRPr="00D90382">
        <w:rPr>
          <w:rFonts w:ascii="Calibri" w:hAnsi="Calibri"/>
          <w:sz w:val="22"/>
          <w:szCs w:val="22"/>
        </w:rPr>
        <w:t>(1</w:t>
      </w:r>
      <w:r w:rsidR="00117FC5">
        <w:rPr>
          <w:rFonts w:ascii="Calibri" w:hAnsi="Calibri"/>
          <w:sz w:val="22"/>
          <w:szCs w:val="22"/>
        </w:rPr>
        <w:t>1</w:t>
      </w:r>
      <w:r w:rsidRPr="00D90382">
        <w:rPr>
          <w:rFonts w:ascii="Calibri" w:hAnsi="Calibri"/>
          <w:sz w:val="22"/>
          <w:szCs w:val="22"/>
        </w:rPr>
        <w:t xml:space="preserve">) procent. </w:t>
      </w:r>
    </w:p>
    <w:p w:rsidR="004E6CDD" w:rsidRPr="00D90382" w:rsidRDefault="004E6CDD" w:rsidP="004E6CDD">
      <w:pPr>
        <w:rPr>
          <w:rFonts w:ascii="Calibri" w:hAnsi="Calibri"/>
          <w:sz w:val="22"/>
          <w:szCs w:val="22"/>
        </w:rPr>
      </w:pPr>
    </w:p>
    <w:p w:rsidR="00DC2A56" w:rsidRPr="00D90382" w:rsidRDefault="004E6CDD" w:rsidP="00172566">
      <w:pPr>
        <w:rPr>
          <w:rFonts w:ascii="Calibri" w:hAnsi="Calibri"/>
          <w:sz w:val="22"/>
          <w:szCs w:val="22"/>
        </w:rPr>
      </w:pPr>
      <w:r w:rsidRPr="00D90382">
        <w:rPr>
          <w:rFonts w:ascii="Calibri" w:hAnsi="Calibri"/>
          <w:sz w:val="22"/>
          <w:szCs w:val="22"/>
        </w:rPr>
        <w:t>Sedan 2009 ingår inte längre gasolkontroll som obligatorisk del i kontrollbesiktningen, något som har medfört att underkännandefrekvensen minskat. Samma kontroll finns numera som en tillägg</w:t>
      </w:r>
      <w:r w:rsidR="00117FC5">
        <w:rPr>
          <w:rFonts w:ascii="Calibri" w:hAnsi="Calibri"/>
          <w:sz w:val="22"/>
          <w:szCs w:val="22"/>
        </w:rPr>
        <w:t>stjänst hos Bilprovningen. 65 (7</w:t>
      </w:r>
      <w:r w:rsidRPr="00D90382">
        <w:rPr>
          <w:rFonts w:ascii="Calibri" w:hAnsi="Calibri"/>
          <w:sz w:val="22"/>
          <w:szCs w:val="22"/>
        </w:rPr>
        <w:t>4) procent av husvagnsägarna valde att göra gasolkontrollen.</w:t>
      </w:r>
    </w:p>
    <w:p w:rsidR="00384366" w:rsidRPr="00D90382" w:rsidRDefault="00384366" w:rsidP="00172566">
      <w:pPr>
        <w:tabs>
          <w:tab w:val="left" w:pos="7515"/>
        </w:tabs>
        <w:rPr>
          <w:rFonts w:ascii="Calibri" w:hAnsi="Calibri"/>
          <w:b/>
          <w:sz w:val="22"/>
          <w:szCs w:val="22"/>
          <w:lang w:eastAsia="sv-SE"/>
        </w:rPr>
      </w:pPr>
    </w:p>
    <w:p w:rsidR="00EF18CE" w:rsidRPr="00D90382" w:rsidRDefault="00172566" w:rsidP="00172566">
      <w:pPr>
        <w:tabs>
          <w:tab w:val="left" w:pos="7515"/>
        </w:tabs>
        <w:rPr>
          <w:rFonts w:ascii="Calibri" w:hAnsi="Calibri"/>
          <w:b/>
          <w:sz w:val="22"/>
          <w:szCs w:val="22"/>
          <w:lang w:eastAsia="sv-SE"/>
        </w:rPr>
      </w:pPr>
      <w:r w:rsidRPr="00D90382">
        <w:rPr>
          <w:rFonts w:ascii="Calibri" w:hAnsi="Calibri"/>
          <w:b/>
          <w:sz w:val="22"/>
          <w:szCs w:val="22"/>
          <w:lang w:eastAsia="sv-SE"/>
        </w:rPr>
        <w:t>M</w:t>
      </w:r>
      <w:r w:rsidR="007C79F4" w:rsidRPr="00D90382">
        <w:rPr>
          <w:rFonts w:ascii="Calibri" w:hAnsi="Calibri"/>
          <w:b/>
          <w:sz w:val="22"/>
          <w:szCs w:val="22"/>
          <w:lang w:eastAsia="sv-SE"/>
        </w:rPr>
        <w:t>otorcyklar</w:t>
      </w:r>
    </w:p>
    <w:p w:rsidR="00713D4E" w:rsidRPr="00D90382" w:rsidRDefault="00713D4E" w:rsidP="00713D4E">
      <w:pPr>
        <w:rPr>
          <w:rFonts w:ascii="Calibri" w:hAnsi="Calibri"/>
          <w:sz w:val="22"/>
          <w:szCs w:val="22"/>
        </w:rPr>
      </w:pPr>
      <w:r w:rsidRPr="00D90382">
        <w:rPr>
          <w:rFonts w:ascii="Calibri" w:hAnsi="Calibri"/>
          <w:sz w:val="22"/>
          <w:szCs w:val="22"/>
        </w:rPr>
        <w:t xml:space="preserve">Motorcyklar kontrollbesiktas första gången efter fyra år i trafik och därefter vartannat år. </w:t>
      </w:r>
    </w:p>
    <w:p w:rsidR="00713D4E" w:rsidRPr="00D90382" w:rsidRDefault="00713D4E" w:rsidP="008A2BC0">
      <w:pPr>
        <w:rPr>
          <w:rFonts w:ascii="Calibri" w:hAnsi="Calibri"/>
          <w:sz w:val="22"/>
          <w:szCs w:val="22"/>
        </w:rPr>
      </w:pPr>
    </w:p>
    <w:p w:rsidR="003D0171" w:rsidRDefault="008A2BC0" w:rsidP="008A2BC0">
      <w:pPr>
        <w:rPr>
          <w:rFonts w:ascii="Calibri" w:hAnsi="Calibri"/>
          <w:color w:val="FF0000"/>
          <w:sz w:val="22"/>
          <w:szCs w:val="22"/>
        </w:rPr>
      </w:pPr>
      <w:r w:rsidRPr="00D90382">
        <w:rPr>
          <w:rFonts w:ascii="Calibri" w:hAnsi="Calibri"/>
          <w:sz w:val="22"/>
          <w:szCs w:val="22"/>
        </w:rPr>
        <w:t>Bilprovningen kontrollbesiktade 113 </w:t>
      </w:r>
      <w:r w:rsidR="004F4417">
        <w:rPr>
          <w:rFonts w:ascii="Calibri" w:hAnsi="Calibri"/>
          <w:sz w:val="22"/>
          <w:szCs w:val="22"/>
        </w:rPr>
        <w:t>659</w:t>
      </w:r>
      <w:r w:rsidRPr="00D90382">
        <w:rPr>
          <w:rFonts w:ascii="Calibri" w:hAnsi="Calibri"/>
          <w:sz w:val="22"/>
          <w:szCs w:val="22"/>
        </w:rPr>
        <w:t xml:space="preserve"> (113 </w:t>
      </w:r>
      <w:r w:rsidR="004F4417">
        <w:rPr>
          <w:rFonts w:ascii="Calibri" w:hAnsi="Calibri"/>
          <w:sz w:val="22"/>
          <w:szCs w:val="22"/>
        </w:rPr>
        <w:t>396) motorcyklar. 78 (78</w:t>
      </w:r>
      <w:r w:rsidRPr="00D90382">
        <w:rPr>
          <w:rFonts w:ascii="Calibri" w:hAnsi="Calibri"/>
          <w:sz w:val="22"/>
          <w:szCs w:val="22"/>
        </w:rPr>
        <w:t xml:space="preserve">) procent godkändes utan anmärkning. </w:t>
      </w:r>
      <w:r w:rsidRPr="004D5536">
        <w:rPr>
          <w:rFonts w:ascii="Calibri" w:hAnsi="Calibri"/>
          <w:sz w:val="22"/>
          <w:szCs w:val="22"/>
        </w:rPr>
        <w:t xml:space="preserve">De </w:t>
      </w:r>
      <w:r w:rsidR="003D0171" w:rsidRPr="004D5536">
        <w:rPr>
          <w:rFonts w:ascii="Calibri" w:hAnsi="Calibri"/>
          <w:sz w:val="22"/>
          <w:szCs w:val="22"/>
        </w:rPr>
        <w:t>vanligaste</w:t>
      </w:r>
      <w:r w:rsidRPr="004D5536">
        <w:rPr>
          <w:rFonts w:ascii="Calibri" w:hAnsi="Calibri"/>
          <w:sz w:val="22"/>
          <w:szCs w:val="22"/>
        </w:rPr>
        <w:t xml:space="preserve"> anmärkningarna avser halvljus, </w:t>
      </w:r>
      <w:r w:rsidR="003D0171" w:rsidRPr="004D5536">
        <w:rPr>
          <w:rFonts w:ascii="Calibri" w:hAnsi="Calibri"/>
          <w:sz w:val="22"/>
          <w:szCs w:val="22"/>
        </w:rPr>
        <w:t>stopplykta, reflex, för hög bulle</w:t>
      </w:r>
      <w:r w:rsidR="004D5536" w:rsidRPr="004D5536">
        <w:rPr>
          <w:rFonts w:ascii="Calibri" w:hAnsi="Calibri"/>
          <w:sz w:val="22"/>
          <w:szCs w:val="22"/>
        </w:rPr>
        <w:t>rnivå, bromsbelägg, missljud i hjullage</w:t>
      </w:r>
      <w:r w:rsidR="003D0171" w:rsidRPr="004D5536">
        <w:rPr>
          <w:rFonts w:ascii="Calibri" w:hAnsi="Calibri"/>
          <w:sz w:val="22"/>
          <w:szCs w:val="22"/>
        </w:rPr>
        <w:t xml:space="preserve">r och </w:t>
      </w:r>
      <w:r w:rsidR="002153D7">
        <w:rPr>
          <w:rFonts w:ascii="Calibri" w:hAnsi="Calibri"/>
          <w:sz w:val="22"/>
          <w:szCs w:val="22"/>
        </w:rPr>
        <w:t>läckage i</w:t>
      </w:r>
      <w:r w:rsidR="004D5536" w:rsidRPr="004D5536">
        <w:rPr>
          <w:rFonts w:ascii="Calibri" w:hAnsi="Calibri"/>
          <w:sz w:val="22"/>
          <w:szCs w:val="22"/>
        </w:rPr>
        <w:t xml:space="preserve"> </w:t>
      </w:r>
      <w:r w:rsidR="003D0171" w:rsidRPr="004D5536">
        <w:rPr>
          <w:rFonts w:ascii="Calibri" w:hAnsi="Calibri"/>
          <w:sz w:val="22"/>
          <w:szCs w:val="22"/>
        </w:rPr>
        <w:t>stötdämpare.</w:t>
      </w:r>
    </w:p>
    <w:p w:rsidR="008A2BC0" w:rsidRPr="00D90382" w:rsidRDefault="008A2BC0" w:rsidP="008A2BC0">
      <w:pPr>
        <w:rPr>
          <w:rFonts w:ascii="Calibri" w:hAnsi="Calibri"/>
          <w:sz w:val="22"/>
          <w:szCs w:val="22"/>
        </w:rPr>
      </w:pPr>
    </w:p>
    <w:p w:rsidR="008A2BC0" w:rsidRPr="00D90382" w:rsidRDefault="008A2BC0" w:rsidP="008A2BC0">
      <w:pPr>
        <w:tabs>
          <w:tab w:val="left" w:pos="7515"/>
        </w:tabs>
        <w:rPr>
          <w:rFonts w:ascii="Calibri" w:hAnsi="Calibri"/>
          <w:b/>
          <w:sz w:val="22"/>
          <w:szCs w:val="22"/>
        </w:rPr>
      </w:pPr>
      <w:r w:rsidRPr="00D90382">
        <w:rPr>
          <w:rFonts w:ascii="Calibri" w:hAnsi="Calibri"/>
          <w:sz w:val="22"/>
          <w:szCs w:val="22"/>
        </w:rPr>
        <w:t xml:space="preserve">Högsta andelen godkända motorcyklar hade </w:t>
      </w:r>
      <w:r w:rsidR="00A26FD6">
        <w:rPr>
          <w:rFonts w:ascii="Calibri" w:hAnsi="Calibri"/>
          <w:sz w:val="22"/>
          <w:szCs w:val="22"/>
        </w:rPr>
        <w:t>Örebro och Gotlands</w:t>
      </w:r>
      <w:r w:rsidRPr="00D90382">
        <w:rPr>
          <w:rFonts w:ascii="Calibri" w:hAnsi="Calibri"/>
          <w:sz w:val="22"/>
          <w:szCs w:val="22"/>
        </w:rPr>
        <w:t xml:space="preserve"> län med 8</w:t>
      </w:r>
      <w:r w:rsidR="00A26FD6">
        <w:rPr>
          <w:rFonts w:ascii="Calibri" w:hAnsi="Calibri"/>
          <w:sz w:val="22"/>
          <w:szCs w:val="22"/>
        </w:rPr>
        <w:t>1</w:t>
      </w:r>
      <w:r w:rsidRPr="00D90382">
        <w:rPr>
          <w:rFonts w:ascii="Calibri" w:hAnsi="Calibri"/>
          <w:sz w:val="22"/>
          <w:szCs w:val="22"/>
        </w:rPr>
        <w:t xml:space="preserve"> procent. Lägsta andelen godkända hade Västernorrlands län med 7</w:t>
      </w:r>
      <w:r w:rsidR="00A26FD6">
        <w:rPr>
          <w:rFonts w:ascii="Calibri" w:hAnsi="Calibri"/>
          <w:sz w:val="22"/>
          <w:szCs w:val="22"/>
        </w:rPr>
        <w:t>3</w:t>
      </w:r>
      <w:r w:rsidRPr="00D90382">
        <w:rPr>
          <w:rFonts w:ascii="Calibri" w:hAnsi="Calibri"/>
          <w:sz w:val="22"/>
          <w:szCs w:val="22"/>
        </w:rPr>
        <w:t xml:space="preserve"> procent.  </w:t>
      </w:r>
    </w:p>
    <w:p w:rsidR="008A2BC0" w:rsidRPr="00D90382" w:rsidRDefault="008A2BC0" w:rsidP="008A2BC0">
      <w:pPr>
        <w:rPr>
          <w:rFonts w:ascii="Calibri" w:hAnsi="Calibri"/>
          <w:sz w:val="22"/>
          <w:szCs w:val="22"/>
        </w:rPr>
      </w:pPr>
    </w:p>
    <w:p w:rsidR="008A2BC0" w:rsidRPr="00D90382" w:rsidRDefault="004F4417" w:rsidP="008A2BC0">
      <w:pPr>
        <w:rPr>
          <w:rFonts w:ascii="Calibri" w:hAnsi="Calibri"/>
          <w:sz w:val="22"/>
          <w:szCs w:val="22"/>
        </w:rPr>
      </w:pPr>
      <w:r>
        <w:rPr>
          <w:rFonts w:ascii="Calibri" w:hAnsi="Calibri"/>
          <w:sz w:val="22"/>
          <w:szCs w:val="22"/>
        </w:rPr>
        <w:t>10</w:t>
      </w:r>
      <w:r w:rsidR="008A2BC0" w:rsidRPr="00D90382">
        <w:rPr>
          <w:rFonts w:ascii="Calibri" w:hAnsi="Calibri"/>
          <w:sz w:val="22"/>
          <w:szCs w:val="22"/>
        </w:rPr>
        <w:t xml:space="preserve"> (9) procent underkändes med krav på efterkon</w:t>
      </w:r>
      <w:r w:rsidR="008A2BC0" w:rsidRPr="004D5536">
        <w:rPr>
          <w:rFonts w:ascii="Calibri" w:hAnsi="Calibri"/>
          <w:sz w:val="22"/>
          <w:szCs w:val="22"/>
        </w:rPr>
        <w:t>troll. Vanliga orsaker är kommunikationssystem samt hjul-, driv- och bromssyste</w:t>
      </w:r>
      <w:r w:rsidR="006A5A84" w:rsidRPr="004D5536">
        <w:rPr>
          <w:rFonts w:ascii="Calibri" w:hAnsi="Calibri"/>
          <w:sz w:val="22"/>
          <w:szCs w:val="22"/>
        </w:rPr>
        <w:t>m</w:t>
      </w:r>
      <w:r w:rsidR="008A2BC0" w:rsidRPr="004D5536">
        <w:rPr>
          <w:rFonts w:ascii="Calibri" w:hAnsi="Calibri"/>
          <w:sz w:val="22"/>
          <w:szCs w:val="22"/>
        </w:rPr>
        <w:t>.</w:t>
      </w:r>
      <w:r w:rsidR="008A2BC0" w:rsidRPr="001B5D4E">
        <w:rPr>
          <w:rFonts w:ascii="Calibri" w:hAnsi="Calibri"/>
          <w:color w:val="FF0000"/>
          <w:sz w:val="22"/>
          <w:szCs w:val="22"/>
        </w:rPr>
        <w:t xml:space="preserve"> </w:t>
      </w:r>
    </w:p>
    <w:p w:rsidR="008A2BC0" w:rsidRPr="00D90382" w:rsidRDefault="008A2BC0" w:rsidP="008A2BC0">
      <w:pPr>
        <w:rPr>
          <w:rFonts w:ascii="Calibri" w:hAnsi="Calibri"/>
          <w:sz w:val="22"/>
          <w:szCs w:val="22"/>
        </w:rPr>
      </w:pPr>
    </w:p>
    <w:p w:rsidR="003E236C" w:rsidRPr="00D90382" w:rsidRDefault="007257E0" w:rsidP="008A2BC0">
      <w:pPr>
        <w:rPr>
          <w:rFonts w:ascii="Calibri" w:hAnsi="Calibri"/>
          <w:sz w:val="22"/>
          <w:szCs w:val="22"/>
        </w:rPr>
      </w:pPr>
      <w:r>
        <w:rPr>
          <w:rFonts w:ascii="Calibri" w:hAnsi="Calibri"/>
          <w:sz w:val="22"/>
          <w:szCs w:val="22"/>
        </w:rPr>
        <w:t>2</w:t>
      </w:r>
      <w:r w:rsidR="004F4417">
        <w:rPr>
          <w:rFonts w:ascii="Calibri" w:hAnsi="Calibri"/>
          <w:sz w:val="22"/>
          <w:szCs w:val="22"/>
        </w:rPr>
        <w:t xml:space="preserve"> (3</w:t>
      </w:r>
      <w:r w:rsidR="008A2BC0" w:rsidRPr="00D90382">
        <w:rPr>
          <w:rFonts w:ascii="Calibri" w:hAnsi="Calibri"/>
          <w:sz w:val="22"/>
          <w:szCs w:val="22"/>
        </w:rPr>
        <w:t>) procent underkändes vid efterkontrollen.</w:t>
      </w:r>
    </w:p>
    <w:sectPr w:rsidR="003E236C" w:rsidRPr="00D90382" w:rsidSect="00C04A6E">
      <w:pgSz w:w="11906" w:h="16838"/>
      <w:pgMar w:top="1134" w:right="1418"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1304"/>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84E6F"/>
    <w:rsid w:val="00007E81"/>
    <w:rsid w:val="00010FE8"/>
    <w:rsid w:val="00014096"/>
    <w:rsid w:val="00022A1B"/>
    <w:rsid w:val="00030BFF"/>
    <w:rsid w:val="0004488B"/>
    <w:rsid w:val="000530A1"/>
    <w:rsid w:val="00062031"/>
    <w:rsid w:val="000655BE"/>
    <w:rsid w:val="00082350"/>
    <w:rsid w:val="000B4457"/>
    <w:rsid w:val="000B56CF"/>
    <w:rsid w:val="000C196A"/>
    <w:rsid w:val="000C1A74"/>
    <w:rsid w:val="000C5036"/>
    <w:rsid w:val="000E0A51"/>
    <w:rsid w:val="000E15C9"/>
    <w:rsid w:val="000E1A94"/>
    <w:rsid w:val="000E49D4"/>
    <w:rsid w:val="001009FF"/>
    <w:rsid w:val="00117FC5"/>
    <w:rsid w:val="00133B2B"/>
    <w:rsid w:val="00134389"/>
    <w:rsid w:val="00153421"/>
    <w:rsid w:val="00155D99"/>
    <w:rsid w:val="00162DCD"/>
    <w:rsid w:val="00163882"/>
    <w:rsid w:val="00172566"/>
    <w:rsid w:val="001751E0"/>
    <w:rsid w:val="00177ED1"/>
    <w:rsid w:val="001922A7"/>
    <w:rsid w:val="001A3509"/>
    <w:rsid w:val="001A706C"/>
    <w:rsid w:val="001B5D4E"/>
    <w:rsid w:val="001B6380"/>
    <w:rsid w:val="001C1FF9"/>
    <w:rsid w:val="001D0477"/>
    <w:rsid w:val="001D04EA"/>
    <w:rsid w:val="001D6796"/>
    <w:rsid w:val="001D7658"/>
    <w:rsid w:val="001E38F4"/>
    <w:rsid w:val="001F0E66"/>
    <w:rsid w:val="002003FD"/>
    <w:rsid w:val="00201DC0"/>
    <w:rsid w:val="00202766"/>
    <w:rsid w:val="00203319"/>
    <w:rsid w:val="0021483A"/>
    <w:rsid w:val="002153D7"/>
    <w:rsid w:val="0021570A"/>
    <w:rsid w:val="002264DD"/>
    <w:rsid w:val="0024382B"/>
    <w:rsid w:val="002573FF"/>
    <w:rsid w:val="002574D4"/>
    <w:rsid w:val="00257DBC"/>
    <w:rsid w:val="002639F6"/>
    <w:rsid w:val="00273D1F"/>
    <w:rsid w:val="00281EF9"/>
    <w:rsid w:val="00295F4A"/>
    <w:rsid w:val="002B50BF"/>
    <w:rsid w:val="002C1F4F"/>
    <w:rsid w:val="002E3B62"/>
    <w:rsid w:val="002E4920"/>
    <w:rsid w:val="002E768C"/>
    <w:rsid w:val="002F47FF"/>
    <w:rsid w:val="00306B1F"/>
    <w:rsid w:val="003130CA"/>
    <w:rsid w:val="00313FD4"/>
    <w:rsid w:val="00317E2C"/>
    <w:rsid w:val="003207F9"/>
    <w:rsid w:val="00320A84"/>
    <w:rsid w:val="00333F01"/>
    <w:rsid w:val="00351AC4"/>
    <w:rsid w:val="00362178"/>
    <w:rsid w:val="00367DF6"/>
    <w:rsid w:val="003737B7"/>
    <w:rsid w:val="00374474"/>
    <w:rsid w:val="0038025B"/>
    <w:rsid w:val="00380EF1"/>
    <w:rsid w:val="00384366"/>
    <w:rsid w:val="0038599D"/>
    <w:rsid w:val="003913A9"/>
    <w:rsid w:val="00394329"/>
    <w:rsid w:val="003A294B"/>
    <w:rsid w:val="003A3466"/>
    <w:rsid w:val="003B2926"/>
    <w:rsid w:val="003C4F13"/>
    <w:rsid w:val="003D0171"/>
    <w:rsid w:val="003D56B5"/>
    <w:rsid w:val="003D62F6"/>
    <w:rsid w:val="003E236C"/>
    <w:rsid w:val="004009E6"/>
    <w:rsid w:val="004028DB"/>
    <w:rsid w:val="004253B2"/>
    <w:rsid w:val="00466AA3"/>
    <w:rsid w:val="00472EDF"/>
    <w:rsid w:val="004A2912"/>
    <w:rsid w:val="004B3B2D"/>
    <w:rsid w:val="004D3DAB"/>
    <w:rsid w:val="004D5536"/>
    <w:rsid w:val="004E6CDD"/>
    <w:rsid w:val="004E7E86"/>
    <w:rsid w:val="004F20BC"/>
    <w:rsid w:val="004F380D"/>
    <w:rsid w:val="004F4417"/>
    <w:rsid w:val="004F4B23"/>
    <w:rsid w:val="00512C0A"/>
    <w:rsid w:val="005153FF"/>
    <w:rsid w:val="005243F6"/>
    <w:rsid w:val="005265BD"/>
    <w:rsid w:val="005266F5"/>
    <w:rsid w:val="005339BE"/>
    <w:rsid w:val="00583FD6"/>
    <w:rsid w:val="00587BDD"/>
    <w:rsid w:val="005A084C"/>
    <w:rsid w:val="005A32FB"/>
    <w:rsid w:val="005B24B5"/>
    <w:rsid w:val="005B72FC"/>
    <w:rsid w:val="0060269A"/>
    <w:rsid w:val="006131B4"/>
    <w:rsid w:val="00624332"/>
    <w:rsid w:val="0063246E"/>
    <w:rsid w:val="006432E8"/>
    <w:rsid w:val="00645F2E"/>
    <w:rsid w:val="00656E6B"/>
    <w:rsid w:val="00666EC3"/>
    <w:rsid w:val="006805CB"/>
    <w:rsid w:val="006A3731"/>
    <w:rsid w:val="006A5A84"/>
    <w:rsid w:val="006C7B70"/>
    <w:rsid w:val="006C7EFE"/>
    <w:rsid w:val="006D0D82"/>
    <w:rsid w:val="006E1602"/>
    <w:rsid w:val="006F05EF"/>
    <w:rsid w:val="006F52F4"/>
    <w:rsid w:val="006F7113"/>
    <w:rsid w:val="006F7968"/>
    <w:rsid w:val="007002A7"/>
    <w:rsid w:val="00707143"/>
    <w:rsid w:val="00713D4E"/>
    <w:rsid w:val="00717AAF"/>
    <w:rsid w:val="00717CA2"/>
    <w:rsid w:val="007201E1"/>
    <w:rsid w:val="007207FC"/>
    <w:rsid w:val="00721ED9"/>
    <w:rsid w:val="007257E0"/>
    <w:rsid w:val="007754EA"/>
    <w:rsid w:val="00780161"/>
    <w:rsid w:val="00782FD3"/>
    <w:rsid w:val="00784E6F"/>
    <w:rsid w:val="00790776"/>
    <w:rsid w:val="007943BE"/>
    <w:rsid w:val="00794426"/>
    <w:rsid w:val="00795C6F"/>
    <w:rsid w:val="007965EC"/>
    <w:rsid w:val="007A5135"/>
    <w:rsid w:val="007A7A3C"/>
    <w:rsid w:val="007C1001"/>
    <w:rsid w:val="007C2A9E"/>
    <w:rsid w:val="007C79F4"/>
    <w:rsid w:val="007D40B2"/>
    <w:rsid w:val="007D5F2A"/>
    <w:rsid w:val="007E0A4F"/>
    <w:rsid w:val="007E6EE0"/>
    <w:rsid w:val="00835A9C"/>
    <w:rsid w:val="00857E86"/>
    <w:rsid w:val="008636CD"/>
    <w:rsid w:val="00866823"/>
    <w:rsid w:val="008701F9"/>
    <w:rsid w:val="00873991"/>
    <w:rsid w:val="00873FF3"/>
    <w:rsid w:val="00877311"/>
    <w:rsid w:val="008870F2"/>
    <w:rsid w:val="00896372"/>
    <w:rsid w:val="008978EA"/>
    <w:rsid w:val="008A2BC0"/>
    <w:rsid w:val="008A7BEB"/>
    <w:rsid w:val="008C19FB"/>
    <w:rsid w:val="008C3231"/>
    <w:rsid w:val="008C4692"/>
    <w:rsid w:val="008C5822"/>
    <w:rsid w:val="008C678E"/>
    <w:rsid w:val="008D4DF8"/>
    <w:rsid w:val="008E25B9"/>
    <w:rsid w:val="0092199F"/>
    <w:rsid w:val="00934287"/>
    <w:rsid w:val="00937192"/>
    <w:rsid w:val="00955A8F"/>
    <w:rsid w:val="00960E00"/>
    <w:rsid w:val="00962F09"/>
    <w:rsid w:val="0096316A"/>
    <w:rsid w:val="00975ECE"/>
    <w:rsid w:val="00977CEF"/>
    <w:rsid w:val="00981A38"/>
    <w:rsid w:val="009A0B90"/>
    <w:rsid w:val="009A3A58"/>
    <w:rsid w:val="009B503C"/>
    <w:rsid w:val="009C26B2"/>
    <w:rsid w:val="009C538E"/>
    <w:rsid w:val="009D3760"/>
    <w:rsid w:val="00A052E9"/>
    <w:rsid w:val="00A1431B"/>
    <w:rsid w:val="00A1793E"/>
    <w:rsid w:val="00A26FD6"/>
    <w:rsid w:val="00A356C9"/>
    <w:rsid w:val="00A3688E"/>
    <w:rsid w:val="00A40302"/>
    <w:rsid w:val="00A4475A"/>
    <w:rsid w:val="00A527A5"/>
    <w:rsid w:val="00A55B91"/>
    <w:rsid w:val="00A5798B"/>
    <w:rsid w:val="00A57DB8"/>
    <w:rsid w:val="00A741F9"/>
    <w:rsid w:val="00A868F4"/>
    <w:rsid w:val="00AB0461"/>
    <w:rsid w:val="00AB4CAA"/>
    <w:rsid w:val="00AC292C"/>
    <w:rsid w:val="00B04EB7"/>
    <w:rsid w:val="00B06772"/>
    <w:rsid w:val="00B134BA"/>
    <w:rsid w:val="00B15266"/>
    <w:rsid w:val="00B22F72"/>
    <w:rsid w:val="00B418A6"/>
    <w:rsid w:val="00B43832"/>
    <w:rsid w:val="00B60474"/>
    <w:rsid w:val="00B71952"/>
    <w:rsid w:val="00B8067E"/>
    <w:rsid w:val="00B8250E"/>
    <w:rsid w:val="00B97C63"/>
    <w:rsid w:val="00BA43EA"/>
    <w:rsid w:val="00BE65D8"/>
    <w:rsid w:val="00BF572C"/>
    <w:rsid w:val="00C04A6E"/>
    <w:rsid w:val="00C53DF0"/>
    <w:rsid w:val="00C60C4F"/>
    <w:rsid w:val="00C82F0B"/>
    <w:rsid w:val="00CA4560"/>
    <w:rsid w:val="00CC343C"/>
    <w:rsid w:val="00CC7D2E"/>
    <w:rsid w:val="00CD2E34"/>
    <w:rsid w:val="00CF3533"/>
    <w:rsid w:val="00CF5FD7"/>
    <w:rsid w:val="00CF7F70"/>
    <w:rsid w:val="00D03AB5"/>
    <w:rsid w:val="00D1371B"/>
    <w:rsid w:val="00D50A55"/>
    <w:rsid w:val="00D6676D"/>
    <w:rsid w:val="00D7525F"/>
    <w:rsid w:val="00D87194"/>
    <w:rsid w:val="00D90382"/>
    <w:rsid w:val="00DA0BBA"/>
    <w:rsid w:val="00DB0584"/>
    <w:rsid w:val="00DC2A56"/>
    <w:rsid w:val="00DC5185"/>
    <w:rsid w:val="00DD2873"/>
    <w:rsid w:val="00DF4E29"/>
    <w:rsid w:val="00DF799E"/>
    <w:rsid w:val="00DF7EF0"/>
    <w:rsid w:val="00E11CD1"/>
    <w:rsid w:val="00E12422"/>
    <w:rsid w:val="00E12DC2"/>
    <w:rsid w:val="00E314CE"/>
    <w:rsid w:val="00E61836"/>
    <w:rsid w:val="00E83486"/>
    <w:rsid w:val="00E939C5"/>
    <w:rsid w:val="00E93CC3"/>
    <w:rsid w:val="00E95C29"/>
    <w:rsid w:val="00EC0CBD"/>
    <w:rsid w:val="00ED6F5A"/>
    <w:rsid w:val="00EE4263"/>
    <w:rsid w:val="00EF18CE"/>
    <w:rsid w:val="00EF24A8"/>
    <w:rsid w:val="00F01BBA"/>
    <w:rsid w:val="00F034DB"/>
    <w:rsid w:val="00F11CA6"/>
    <w:rsid w:val="00F13101"/>
    <w:rsid w:val="00F20E81"/>
    <w:rsid w:val="00F26BE1"/>
    <w:rsid w:val="00F27AC9"/>
    <w:rsid w:val="00F4648B"/>
    <w:rsid w:val="00F47378"/>
    <w:rsid w:val="00F503AA"/>
    <w:rsid w:val="00F5257A"/>
    <w:rsid w:val="00F64451"/>
    <w:rsid w:val="00F72676"/>
    <w:rsid w:val="00F8122F"/>
    <w:rsid w:val="00F83AB6"/>
    <w:rsid w:val="00F840D5"/>
    <w:rsid w:val="00F938D7"/>
    <w:rsid w:val="00FA74FE"/>
    <w:rsid w:val="00FB2F15"/>
    <w:rsid w:val="00FB4B2F"/>
    <w:rsid w:val="00FB5759"/>
    <w:rsid w:val="00FC32F7"/>
    <w:rsid w:val="00FE62C8"/>
    <w:rsid w:val="00FE675A"/>
    <w:rsid w:val="00FF5423"/>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3F01"/>
    <w:rPr>
      <w:sz w:val="24"/>
      <w:szCs w:val="24"/>
      <w:lang w:eastAsia="en-US"/>
    </w:rPr>
  </w:style>
  <w:style w:type="paragraph" w:styleId="Rubrik2">
    <w:name w:val="heading 2"/>
    <w:basedOn w:val="Normal"/>
    <w:next w:val="Normal"/>
    <w:qFormat/>
    <w:rsid w:val="00172566"/>
    <w:pPr>
      <w:keepNext/>
      <w:spacing w:before="240" w:after="60"/>
      <w:outlineLvl w:val="1"/>
    </w:pPr>
    <w:rPr>
      <w:rFonts w:ascii="Arial" w:hAnsi="Arial" w:cs="Arial"/>
      <w:b/>
      <w:bCs/>
      <w:i/>
      <w:iCs/>
      <w:sz w:val="28"/>
      <w:szCs w:val="28"/>
      <w:lang w:eastAsia="sv-SE"/>
    </w:rPr>
  </w:style>
  <w:style w:type="paragraph" w:styleId="Rubrik3">
    <w:name w:val="heading 3"/>
    <w:basedOn w:val="Normal"/>
    <w:next w:val="Normal"/>
    <w:qFormat/>
    <w:rsid w:val="00172566"/>
    <w:pPr>
      <w:keepNext/>
      <w:spacing w:before="240" w:after="60"/>
      <w:outlineLvl w:val="2"/>
    </w:pPr>
    <w:rPr>
      <w:rFonts w:ascii="Arial" w:hAnsi="Arial" w:cs="Arial"/>
      <w:b/>
      <w:bCs/>
      <w:sz w:val="26"/>
      <w:szCs w:val="2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Standardtabell4">
    <w:name w:val="Table Classic 4"/>
    <w:basedOn w:val="Normaltabell"/>
    <w:rsid w:val="00784E6F"/>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Ballongtext">
    <w:name w:val="Balloon Text"/>
    <w:basedOn w:val="Normal"/>
    <w:semiHidden/>
    <w:rsid w:val="00ED6F5A"/>
    <w:rPr>
      <w:rFonts w:ascii="Tahoma" w:hAnsi="Tahoma" w:cs="Tahoma"/>
      <w:sz w:val="16"/>
      <w:szCs w:val="16"/>
    </w:rPr>
  </w:style>
  <w:style w:type="paragraph" w:styleId="Brdtext">
    <w:name w:val="Body Text"/>
    <w:basedOn w:val="Normal"/>
    <w:rsid w:val="00172566"/>
    <w:rPr>
      <w:szCs w:val="20"/>
      <w:lang w:eastAsia="sv-SE"/>
    </w:rPr>
  </w:style>
  <w:style w:type="table" w:styleId="Moderntabell">
    <w:name w:val="Table Contemporary"/>
    <w:basedOn w:val="Normaltabell"/>
    <w:rsid w:val="0017256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rsid w:val="007C2A9E"/>
    <w:pPr>
      <w:spacing w:before="100" w:beforeAutospacing="1" w:after="100" w:afterAutospacing="1"/>
    </w:pPr>
    <w:rPr>
      <w:color w:val="000000"/>
      <w:lang w:eastAsia="sv-SE"/>
    </w:rPr>
  </w:style>
</w:styles>
</file>

<file path=word/webSettings.xml><?xml version="1.0" encoding="utf-8"?>
<w:webSettings xmlns:r="http://schemas.openxmlformats.org/officeDocument/2006/relationships" xmlns:w="http://schemas.openxmlformats.org/wordprocessingml/2006/main">
  <w:divs>
    <w:div w:id="2084062874">
      <w:bodyDiv w:val="1"/>
      <w:marLeft w:val="0"/>
      <w:marRight w:val="0"/>
      <w:marTop w:val="0"/>
      <w:marBottom w:val="0"/>
      <w:divBdr>
        <w:top w:val="none" w:sz="0" w:space="0" w:color="auto"/>
        <w:left w:val="none" w:sz="0" w:space="0" w:color="auto"/>
        <w:bottom w:val="none" w:sz="0" w:space="0" w:color="auto"/>
        <w:right w:val="none" w:sz="0" w:space="0" w:color="auto"/>
      </w:divBdr>
      <w:divsChild>
        <w:div w:id="1703557274">
          <w:marLeft w:val="0"/>
          <w:marRight w:val="0"/>
          <w:marTop w:val="0"/>
          <w:marBottom w:val="0"/>
          <w:divBdr>
            <w:top w:val="none" w:sz="0" w:space="0" w:color="auto"/>
            <w:left w:val="none" w:sz="0" w:space="0" w:color="auto"/>
            <w:bottom w:val="none" w:sz="0" w:space="0" w:color="auto"/>
            <w:right w:val="none" w:sz="0" w:space="0" w:color="auto"/>
          </w:divBdr>
          <w:divsChild>
            <w:div w:id="677851806">
              <w:marLeft w:val="0"/>
              <w:marRight w:val="0"/>
              <w:marTop w:val="0"/>
              <w:marBottom w:val="0"/>
              <w:divBdr>
                <w:top w:val="single" w:sz="6" w:space="0" w:color="1B3F71"/>
                <w:left w:val="single" w:sz="6" w:space="0" w:color="254E9B"/>
                <w:bottom w:val="single" w:sz="6" w:space="0" w:color="254E9B"/>
                <w:right w:val="single" w:sz="6" w:space="0" w:color="254E9B"/>
              </w:divBdr>
              <w:divsChild>
                <w:div w:id="112461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www.bilprovningen.se/icons/ecblank.gif" TargetMode="Externa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5</Pages>
  <Words>1685</Words>
  <Characters>9231</Characters>
  <Application>Microsoft Office Word</Application>
  <DocSecurity>0</DocSecurity>
  <Lines>76</Lines>
  <Paragraphs>21</Paragraphs>
  <ScaleCrop>false</ScaleCrop>
  <HeadingPairs>
    <vt:vector size="2" baseType="variant">
      <vt:variant>
        <vt:lpstr>Rubrik</vt:lpstr>
      </vt:variant>
      <vt:variant>
        <vt:i4>1</vt:i4>
      </vt:variant>
    </vt:vector>
  </HeadingPairs>
  <TitlesOfParts>
    <vt:vector size="1" baseType="lpstr">
      <vt:lpstr>Resultat kontrollbesiktningar 2004 länsvis personbilar</vt:lpstr>
    </vt:vector>
  </TitlesOfParts>
  <Company>Bilprovningen</Company>
  <LinksUpToDate>false</LinksUpToDate>
  <CharactersWithSpaces>10895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Resultat kontrollbesiktningar 2004 länsvis personbilar</dc:title>
  <dc:creator>GuHo</dc:creator>
  <cp:lastModifiedBy>Cecilia Blom Hesselgren</cp:lastModifiedBy>
  <cp:revision>42</cp:revision>
  <cp:lastPrinted>2012-02-20T07:30:00Z</cp:lastPrinted>
  <dcterms:created xsi:type="dcterms:W3CDTF">2013-02-21T14:51:00Z</dcterms:created>
  <dcterms:modified xsi:type="dcterms:W3CDTF">2013-03-23T15:13:00Z</dcterms:modified>
</cp:coreProperties>
</file>