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54A" w:rsidRPr="008B5277" w:rsidRDefault="006E7C5D" w:rsidP="00C6554A">
      <w:pPr>
        <w:pStyle w:val="Foto"/>
      </w:pPr>
      <w:r w:rsidRPr="006E7C5D">
        <w:rPr>
          <w:noProof/>
        </w:rPr>
        <w:drawing>
          <wp:inline distT="0" distB="0" distL="0" distR="0" wp14:anchorId="1F552C66" wp14:editId="09903462">
            <wp:extent cx="5274310" cy="3674745"/>
            <wp:effectExtent l="0" t="0" r="2540" b="190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674745"/>
                    </a:xfrm>
                    <a:prstGeom prst="rect">
                      <a:avLst/>
                    </a:prstGeom>
                  </pic:spPr>
                </pic:pic>
              </a:graphicData>
            </a:graphic>
          </wp:inline>
        </w:drawing>
      </w:r>
    </w:p>
    <w:p w:rsidR="009E1664" w:rsidRPr="00CE2D60" w:rsidRDefault="009E1664" w:rsidP="009E1664">
      <w:pPr>
        <w:pStyle w:val="Rubrik"/>
        <w:rPr>
          <w:rFonts w:ascii="Arial Narrow" w:hAnsi="Arial Narrow"/>
          <w:b/>
          <w:bCs/>
          <w:color w:val="0070C0"/>
          <w:sz w:val="48"/>
          <w:szCs w:val="16"/>
        </w:rPr>
      </w:pPr>
      <w:r w:rsidRPr="00CE2D60">
        <w:rPr>
          <w:rFonts w:ascii="Arial Narrow" w:hAnsi="Arial Narrow"/>
          <w:b/>
          <w:bCs/>
          <w:color w:val="0070C0"/>
          <w:sz w:val="48"/>
          <w:szCs w:val="16"/>
        </w:rPr>
        <w:t>Olika generationers förutsättningar på bostadsmarknaden</w:t>
      </w:r>
      <w:r w:rsidR="006E7C5D">
        <w:rPr>
          <w:rFonts w:ascii="Arial Narrow" w:hAnsi="Arial Narrow"/>
          <w:b/>
          <w:bCs/>
          <w:color w:val="0070C0"/>
          <w:sz w:val="48"/>
          <w:szCs w:val="16"/>
        </w:rPr>
        <w:t xml:space="preserve"> i Stockholm</w:t>
      </w:r>
    </w:p>
    <w:p w:rsidR="009E1664" w:rsidRPr="00CE2D60" w:rsidRDefault="009E1664" w:rsidP="009E1664">
      <w:pPr>
        <w:pStyle w:val="Rubrik"/>
        <w:rPr>
          <w:color w:val="0070C0"/>
        </w:rPr>
      </w:pPr>
    </w:p>
    <w:p w:rsidR="009E1664" w:rsidRPr="004927DD" w:rsidRDefault="009E1664" w:rsidP="004927DD">
      <w:pPr>
        <w:pStyle w:val="Rubrik"/>
        <w:rPr>
          <w:rFonts w:ascii="Arial Narrow" w:hAnsi="Arial Narrow"/>
          <w:color w:val="0070C0"/>
          <w:sz w:val="24"/>
          <w:szCs w:val="4"/>
        </w:rPr>
      </w:pPr>
      <w:r w:rsidRPr="00CE2D60">
        <w:rPr>
          <w:rFonts w:ascii="Arial Narrow" w:hAnsi="Arial Narrow"/>
          <w:color w:val="0070C0"/>
          <w:sz w:val="24"/>
          <w:szCs w:val="4"/>
        </w:rPr>
        <w:t>Bostadspriserna har gjort fler generationer i Stockholm till miljonärer – men hur ska det gå för unga födda på 2000-talet – stora grupper har ingen möjlighet att ens komma in på bostadsmarknaden.</w:t>
      </w:r>
    </w:p>
    <w:p w:rsidR="006E7C5D" w:rsidRDefault="006E7C5D" w:rsidP="009E1664">
      <w:pPr>
        <w:pStyle w:val="Rubrik"/>
        <w:jc w:val="left"/>
        <w:rPr>
          <w:rFonts w:ascii="Arial Narrow" w:hAnsi="Arial Narrow"/>
          <w:color w:val="0070C0"/>
          <w:sz w:val="24"/>
          <w:szCs w:val="4"/>
        </w:rPr>
      </w:pPr>
    </w:p>
    <w:p w:rsidR="006E7C5D" w:rsidRDefault="006E7C5D" w:rsidP="004927DD">
      <w:pPr>
        <w:pStyle w:val="Rubrik"/>
        <w:rPr>
          <w:rFonts w:ascii="Arial Narrow" w:hAnsi="Arial Narrow"/>
          <w:color w:val="0070C0"/>
          <w:sz w:val="24"/>
          <w:szCs w:val="4"/>
        </w:rPr>
      </w:pPr>
      <w:r w:rsidRPr="006E7C5D">
        <w:rPr>
          <w:rFonts w:ascii="Arial Narrow" w:hAnsi="Arial Narrow"/>
          <w:color w:val="0070C0"/>
          <w:sz w:val="24"/>
          <w:szCs w:val="4"/>
        </w:rPr>
        <w:t>Rapporten har utarbetats av Evidens på uppdrag av Länsförsäkringar. Analysen beskriver förutsättningarna för 40-, 60- och 80-talisters inträde på bostadsmarknaden. För dessa generationer var förutsättningarna i stora delar annorlunda än för dagens unga.</w:t>
      </w:r>
    </w:p>
    <w:p w:rsidR="004927DD" w:rsidRPr="006E7C5D" w:rsidRDefault="004927DD" w:rsidP="004927DD">
      <w:pPr>
        <w:pStyle w:val="Rubrik"/>
        <w:rPr>
          <w:rFonts w:ascii="Arial Narrow" w:hAnsi="Arial Narrow"/>
          <w:color w:val="0070C0"/>
          <w:sz w:val="24"/>
          <w:szCs w:val="4"/>
        </w:rPr>
      </w:pPr>
    </w:p>
    <w:p w:rsidR="006E7C5D" w:rsidRDefault="006E7C5D" w:rsidP="004927DD">
      <w:pPr>
        <w:pStyle w:val="Rubrik"/>
        <w:rPr>
          <w:rFonts w:ascii="Arial Narrow" w:hAnsi="Arial Narrow"/>
          <w:color w:val="0070C0"/>
          <w:sz w:val="24"/>
          <w:szCs w:val="4"/>
        </w:rPr>
      </w:pPr>
      <w:r w:rsidRPr="006E7C5D">
        <w:rPr>
          <w:rFonts w:ascii="Arial Narrow" w:hAnsi="Arial Narrow"/>
          <w:color w:val="0070C0"/>
          <w:sz w:val="24"/>
          <w:szCs w:val="4"/>
        </w:rPr>
        <w:t>Med statliga bostadslån, hög belåningsgrad och hög inflation kunde exempelvis 40-taliserna ta del av en omfattande förmögenhetsuppbyggnad i sina bostäder och inträdesbarriärerna var lägre. 80-talisterna kunde tillgodoräkna sig snabbt stigande priser samt få tillgång till bostadsfinansiering utan bolånetak och amorteringskrav.</w:t>
      </w: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6E7C5D" w:rsidRDefault="006E7C5D" w:rsidP="009E1664">
      <w:pPr>
        <w:pStyle w:val="Rubrik"/>
        <w:jc w:val="left"/>
        <w:rPr>
          <w:rFonts w:ascii="Arial Narrow" w:hAnsi="Arial Narrow"/>
          <w:color w:val="0070C0"/>
          <w:sz w:val="24"/>
          <w:szCs w:val="4"/>
        </w:rPr>
      </w:pPr>
    </w:p>
    <w:p w:rsidR="009E1664" w:rsidRPr="009E1664" w:rsidRDefault="009E1664" w:rsidP="009E1664">
      <w:pPr>
        <w:pStyle w:val="Rubrik"/>
        <w:rPr>
          <w:sz w:val="24"/>
          <w:szCs w:val="4"/>
        </w:rPr>
      </w:pPr>
    </w:p>
    <w:p w:rsidR="009E1664" w:rsidRPr="009E1664" w:rsidRDefault="009E1664" w:rsidP="009E1664">
      <w:pPr>
        <w:pStyle w:val="Rubrik"/>
        <w:rPr>
          <w:sz w:val="24"/>
          <w:szCs w:val="4"/>
        </w:rPr>
      </w:pPr>
    </w:p>
    <w:p w:rsidR="00C6554A" w:rsidRDefault="00C6554A" w:rsidP="00C6554A">
      <w:pPr>
        <w:pStyle w:val="Rubrik"/>
      </w:pPr>
    </w:p>
    <w:p w:rsidR="00C6554A" w:rsidRPr="006E7C5D" w:rsidRDefault="00AE5D94" w:rsidP="006E7C5D">
      <w:pPr>
        <w:pStyle w:val="Kontaktinformation"/>
        <w:ind w:firstLine="360"/>
        <w:jc w:val="left"/>
      </w:pPr>
      <w:r w:rsidRPr="00CE2D60">
        <w:rPr>
          <w:rFonts w:ascii="Arial Narrow" w:hAnsi="Arial Narrow"/>
          <w:color w:val="0070C0"/>
          <w:sz w:val="28"/>
          <w:szCs w:val="20"/>
        </w:rPr>
        <w:t>Tidigare generationers förutsättningar på bostadsmarknaden</w:t>
      </w:r>
    </w:p>
    <w:p w:rsidR="002B1E6D" w:rsidRPr="00CE2D60" w:rsidRDefault="002B1E6D" w:rsidP="00AE5D94">
      <w:pPr>
        <w:pStyle w:val="Punktlista"/>
        <w:numPr>
          <w:ilvl w:val="0"/>
          <w:numId w:val="0"/>
        </w:numPr>
        <w:ind w:left="360"/>
        <w:rPr>
          <w:rFonts w:ascii="Arial Narrow" w:hAnsi="Arial Narrow"/>
        </w:rPr>
      </w:pPr>
      <w:r w:rsidRPr="00CE2D60">
        <w:rPr>
          <w:rFonts w:ascii="Arial Narrow" w:hAnsi="Arial Narrow"/>
        </w:rPr>
        <w:t xml:space="preserve">För hushåll som är födda på </w:t>
      </w:r>
      <w:r w:rsidRPr="00CE2D60">
        <w:rPr>
          <w:rFonts w:ascii="Arial Narrow" w:hAnsi="Arial Narrow"/>
          <w:b/>
          <w:bCs/>
        </w:rPr>
        <w:t>1940-talet</w:t>
      </w:r>
      <w:r w:rsidRPr="00CE2D60">
        <w:rPr>
          <w:rFonts w:ascii="Arial Narrow" w:hAnsi="Arial Narrow"/>
        </w:rPr>
        <w:t xml:space="preserve"> och bedöms ha köpt sina bostäder under 1960-talet har kombinationen av prisutveckling, inflation och egna amorteringar inneburit en betydande förmögenhetsuppbyggnad. I Stockholmsregionen finns ett flertal kommuner där hushållens egna kapital i bostaden i genomsnitt uppgår till mellan fem och nio miljoner kronor.</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 xml:space="preserve">Villkoren för dagens unga skiljer sig avsevärt åt, säger Emma Persson, privatekonom på Länsförsäkringar; </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-En viktig skillnad är att det krävs ett betydligt större eget sparande för inträde på den ägda delen av bostadsmarknaden. Det finns idag en risk för att ett för lågt sparande bland unga vuxna hindrar dem från att etablera sig på den ägda bostadsmarknaden och därmed gå miste om långsiktigt låga boendekostnader och en långsiktig förmögenhetsuppbyggnad.</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De tidigare generationerna kunde etablera sig på den ägda bostadsmarknaden med hjälp av höga belåningsgrader som möjliggjordes av statliga lån. De statliga topplånen möjliggjorde belåningsgrader på runt 95 procent av bostadens värde vid exempelvis nybyggnad av ett småhus. Behovet av ett stort eget sparkapital var därför mer begränsat än idag. Den omfattande statliga kreditgivningen med topplån och garanterade räntenivåer ledde dessutom till en relativt omfattande nyproduktion av bostäder, inte minst småhus, som bidrog till att den reala prisutvecklingen begränsades.</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 xml:space="preserve">Väl inne på marknaden ökade hushållens nettoförmögenhet snabbt. Särskilt under 1970 och 1980-talen var inflationen hög och den nominella prisutvecklingen påtaglig. De nominella räntorna var samtidigt höga vilket innebar betydande likviditetspåfrestningar på hushållen. Dessa mildrades dock av först 100-procentiga och sedan 50-procentiga ränteavdrag, vars effekter blev särskilt gynnsamma av höga marginalskatter på inkomster. </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-Dåtidens debatt konstaterade att hushållen fick ”betalt för att bo”, vilket vår statistik visar, säger Emma Persson.</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En effekt av snabb prisutveckling i storstäderna i kombination med bruksvärdessystemets tillämpning blev en omfattande ombildning av hyresrätter till bostadsrätter. Totalt ombildades cirka 200 000 bostäder under en tjugoårsperiod.</w:t>
      </w:r>
    </w:p>
    <w:p w:rsidR="002B1E6D" w:rsidRPr="00CE2D60" w:rsidRDefault="002B1E6D" w:rsidP="002A3BE3">
      <w:pPr>
        <w:pStyle w:val="Punktlista"/>
        <w:numPr>
          <w:ilvl w:val="0"/>
          <w:numId w:val="0"/>
        </w:numPr>
        <w:ind w:left="360"/>
        <w:rPr>
          <w:rFonts w:ascii="Arial Narrow" w:hAnsi="Arial Narrow"/>
        </w:rPr>
      </w:pPr>
      <w:r w:rsidRPr="00CE2D60">
        <w:rPr>
          <w:rFonts w:ascii="Arial Narrow" w:hAnsi="Arial Narrow"/>
        </w:rPr>
        <w:t>För nästa generation som gjorde entré på den ägda bostadsmarknaden</w:t>
      </w:r>
      <w:r w:rsidR="00CE2D60" w:rsidRPr="00CE2D60">
        <w:rPr>
          <w:rFonts w:ascii="Arial Narrow" w:hAnsi="Arial Narrow"/>
        </w:rPr>
        <w:t xml:space="preserve">, </w:t>
      </w:r>
      <w:r w:rsidR="00CE2D60" w:rsidRPr="00CE2D60">
        <w:rPr>
          <w:rFonts w:ascii="Arial Narrow" w:hAnsi="Arial Narrow"/>
          <w:b/>
          <w:bCs/>
        </w:rPr>
        <w:t>60-talisterna</w:t>
      </w:r>
      <w:r w:rsidR="00CE2D60" w:rsidRPr="00CE2D60">
        <w:rPr>
          <w:rFonts w:ascii="Arial Narrow" w:hAnsi="Arial Narrow"/>
        </w:rPr>
        <w:t xml:space="preserve">, </w:t>
      </w:r>
      <w:r w:rsidRPr="00CE2D60">
        <w:rPr>
          <w:rFonts w:ascii="Arial Narrow" w:hAnsi="Arial Narrow"/>
        </w:rPr>
        <w:t>under 1990-talet var visserligen makrovillkoren ändrade. Framförallt blev inflationstakten och räntenivån allt lägre. Avvecklade statliga subventioner och skatteomläggningen medförde betydligt lägre byggtakt. Men med den fallande räntenivån i kombination med en mer gynnsam ekonomisk utveckling med högre real tillväxt i BNP och hushållsinkomster steg bostadspriserna åter efter 90-talskrisen.</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 xml:space="preserve">Dessutom föll nyproduktionen kraftigt när subventionera avvecklades och den stora skattereformen 1991 gjorde boendet dyrare, vilket lade grunden för snabbare prisutveckling i det befintliga beståndet när efterfrågan successivt ökade. Men avregleringen av kreditmarknaden som tog sin början under slutet av 1980-talet möjliggjorde för många hushåll, trots stigande priser, att få ett </w:t>
      </w:r>
      <w:r w:rsidRPr="00CE2D60">
        <w:rPr>
          <w:rFonts w:ascii="Arial Narrow" w:hAnsi="Arial Narrow"/>
        </w:rPr>
        <w:lastRenderedPageBreak/>
        <w:t xml:space="preserve">bostadslån med en relativt hög belåningsgrad och måttliga amorteringskrav. Helt amorteringsfria lån för vissa grupper blev vanligare. </w:t>
      </w:r>
    </w:p>
    <w:p w:rsidR="002B1E6D" w:rsidRPr="00CE2D60" w:rsidRDefault="002B1E6D" w:rsidP="002B1E6D">
      <w:pPr>
        <w:pStyle w:val="Punktlista"/>
        <w:numPr>
          <w:ilvl w:val="0"/>
          <w:numId w:val="0"/>
        </w:numPr>
        <w:ind w:left="360"/>
        <w:rPr>
          <w:rFonts w:ascii="Arial Narrow" w:hAnsi="Arial Narrow"/>
        </w:rPr>
      </w:pPr>
      <w:r w:rsidRPr="00CE2D60">
        <w:rPr>
          <w:rFonts w:ascii="Arial Narrow" w:hAnsi="Arial Narrow"/>
        </w:rPr>
        <w:t>-Även om inflationen var låg och amorteringstakten mer begränsad innebar den snabba prisutvecklingen att belåningsgraden snabbt föll och det egna kapitalet växte också för denna generation av förstagångsköpare, säger Emma Persson.</w:t>
      </w:r>
    </w:p>
    <w:p w:rsidR="002B1E6D" w:rsidRPr="00CE2D60" w:rsidRDefault="002B1E6D" w:rsidP="00AE5D94">
      <w:pPr>
        <w:pStyle w:val="Punktlista"/>
        <w:numPr>
          <w:ilvl w:val="0"/>
          <w:numId w:val="0"/>
        </w:numPr>
        <w:ind w:left="360"/>
        <w:rPr>
          <w:rFonts w:ascii="Arial Narrow" w:hAnsi="Arial Narrow"/>
        </w:rPr>
      </w:pPr>
      <w:r w:rsidRPr="00CE2D60">
        <w:rPr>
          <w:rFonts w:ascii="Arial Narrow" w:hAnsi="Arial Narrow"/>
        </w:rPr>
        <w:t xml:space="preserve">För de hushåll som föddes under </w:t>
      </w:r>
      <w:r w:rsidRPr="00CE2D60">
        <w:rPr>
          <w:rFonts w:ascii="Arial Narrow" w:hAnsi="Arial Narrow"/>
          <w:b/>
          <w:bCs/>
        </w:rPr>
        <w:t>1980-talet</w:t>
      </w:r>
      <w:r w:rsidRPr="00CE2D60">
        <w:rPr>
          <w:rFonts w:ascii="Arial Narrow" w:hAnsi="Arial Narrow"/>
        </w:rPr>
        <w:t xml:space="preserve"> och därmed förvärvade sin bostad under början av 2000-talet har förmögenhetsbildningen i flera fall också varit god. Men för denna generation finns också exempel på hushåll i kommuner där bostadsprisernas utveckling varit sämre. Med lägre inflationstakt och svag tillväxt utanför tillväxtregionerna finns flera exempel på att småhusen fallit realt i värde. För kommunerna i storstadsregionerna och i andra tillväxtregioner har förmögenhetsutvecklingen dock varit mycket god. Också denna generation har fått se sitt sparkapital i bostaden öka snabbt i värde, plus tre till sex miljoner kronor i delar av Stockholmsregionen och mellan en halv till två miljoner i många andra delar av landet.</w:t>
      </w:r>
    </w:p>
    <w:p w:rsidR="00AE5D94" w:rsidRPr="00AE5D94" w:rsidRDefault="00AE5D94" w:rsidP="00E94BD2">
      <w:pPr>
        <w:keepNext/>
        <w:keepLines/>
        <w:spacing w:before="600" w:after="60"/>
        <w:ind w:firstLine="360"/>
        <w:contextualSpacing/>
        <w:outlineLvl w:val="0"/>
        <w:rPr>
          <w:rFonts w:ascii="Arial Narrow" w:eastAsiaTheme="majorEastAsia" w:hAnsi="Arial Narrow" w:cstheme="majorBidi"/>
          <w:color w:val="0070C0"/>
          <w:sz w:val="28"/>
          <w:szCs w:val="20"/>
        </w:rPr>
      </w:pPr>
      <w:r w:rsidRPr="00CE2D60">
        <w:rPr>
          <w:rFonts w:ascii="Arial Narrow" w:eastAsiaTheme="majorEastAsia" w:hAnsi="Arial Narrow" w:cstheme="majorBidi"/>
          <w:color w:val="0070C0"/>
          <w:sz w:val="28"/>
          <w:szCs w:val="20"/>
        </w:rPr>
        <w:t>Grafer över de olika generationernas växande egna kapital</w:t>
      </w:r>
    </w:p>
    <w:p w:rsidR="00C6554A" w:rsidRPr="00CE2D60" w:rsidRDefault="00C6554A" w:rsidP="00C6554A">
      <w:pPr>
        <w:pStyle w:val="Rubrik2"/>
        <w:rPr>
          <w:rFonts w:ascii="Arial Narrow" w:hAnsi="Arial Narrow"/>
        </w:rPr>
      </w:pPr>
    </w:p>
    <w:p w:rsidR="002C74C0" w:rsidRPr="00CE2D60" w:rsidRDefault="00AE5D94" w:rsidP="00AE5D94">
      <w:pPr>
        <w:rPr>
          <w:rFonts w:ascii="Arial Narrow" w:hAnsi="Arial Narrow"/>
        </w:rPr>
      </w:pPr>
      <w:r w:rsidRPr="00CE2D60">
        <w:rPr>
          <w:rFonts w:ascii="Arial Narrow" w:hAnsi="Arial Narrow"/>
          <w:noProof/>
        </w:rPr>
        <w:drawing>
          <wp:inline distT="0" distB="0" distL="0" distR="0" wp14:anchorId="44E4BBF7" wp14:editId="160BDF61">
            <wp:extent cx="5522159" cy="3126094"/>
            <wp:effectExtent l="0" t="0" r="2540" b="0"/>
            <wp:docPr id="1" name="Diagram 1">
              <a:extLst xmlns:a="http://schemas.openxmlformats.org/drawingml/2006/main">
                <a:ext uri="{FF2B5EF4-FFF2-40B4-BE49-F238E27FC236}">
                  <a16:creationId xmlns:a16="http://schemas.microsoft.com/office/drawing/2014/main" id="{11858FF2-AB38-4F68-A3F4-2B28DBCA50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E5D94" w:rsidRPr="00CE2D60" w:rsidRDefault="00AE5D94" w:rsidP="00AE5D94">
      <w:pPr>
        <w:rPr>
          <w:rFonts w:ascii="Arial Narrow" w:hAnsi="Arial Narrow"/>
        </w:rPr>
      </w:pPr>
    </w:p>
    <w:p w:rsidR="00AE5D94" w:rsidRPr="00CE2D60" w:rsidRDefault="00AE5D94" w:rsidP="00AE5D94">
      <w:pPr>
        <w:rPr>
          <w:rFonts w:ascii="Arial Narrow" w:hAnsi="Arial Narrow"/>
        </w:rPr>
      </w:pPr>
    </w:p>
    <w:p w:rsidR="007F77BE" w:rsidRPr="00CE2D60" w:rsidRDefault="00AE5D94" w:rsidP="00AE5D94">
      <w:pPr>
        <w:rPr>
          <w:rFonts w:ascii="Arial Narrow" w:hAnsi="Arial Narrow"/>
        </w:rPr>
      </w:pPr>
      <w:r w:rsidRPr="00CE2D60">
        <w:rPr>
          <w:rFonts w:ascii="Arial Narrow" w:hAnsi="Arial Narrow"/>
          <w:noProof/>
          <w:sz w:val="18"/>
        </w:rPr>
        <w:lastRenderedPageBreak/>
        <w:drawing>
          <wp:inline distT="0" distB="0" distL="0" distR="0" wp14:anchorId="330ADFA9" wp14:editId="433316AF">
            <wp:extent cx="5350936" cy="2761271"/>
            <wp:effectExtent l="0" t="0" r="2540" b="1270"/>
            <wp:docPr id="2" name="Diagram 2">
              <a:extLst xmlns:a="http://schemas.openxmlformats.org/drawingml/2006/main">
                <a:ext uri="{FF2B5EF4-FFF2-40B4-BE49-F238E27FC236}">
                  <a16:creationId xmlns:a16="http://schemas.microsoft.com/office/drawing/2014/main" id="{0BD0426C-0376-4360-A9A0-770A2F2A3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77BE" w:rsidRPr="00CE2D60" w:rsidRDefault="007F77BE" w:rsidP="00AE5D94">
      <w:pPr>
        <w:rPr>
          <w:rFonts w:ascii="Arial Narrow" w:hAnsi="Arial Narrow"/>
        </w:rPr>
      </w:pPr>
    </w:p>
    <w:p w:rsidR="007F77BE" w:rsidRPr="00CE2D60" w:rsidRDefault="007F77BE" w:rsidP="00AE5D94">
      <w:pPr>
        <w:rPr>
          <w:rFonts w:ascii="Arial Narrow" w:hAnsi="Arial Narrow"/>
        </w:rPr>
      </w:pPr>
      <w:r w:rsidRPr="00CE2D60">
        <w:rPr>
          <w:rFonts w:ascii="Arial Narrow" w:hAnsi="Arial Narrow"/>
          <w:noProof/>
        </w:rPr>
        <w:drawing>
          <wp:inline distT="0" distB="0" distL="0" distR="0" wp14:anchorId="0E09CEB5" wp14:editId="294BB8D1">
            <wp:extent cx="5639651" cy="3005062"/>
            <wp:effectExtent l="0" t="0" r="0" b="5080"/>
            <wp:docPr id="3" name="Diagram 3">
              <a:extLst xmlns:a="http://schemas.openxmlformats.org/drawingml/2006/main">
                <a:ext uri="{FF2B5EF4-FFF2-40B4-BE49-F238E27FC236}">
                  <a16:creationId xmlns:a16="http://schemas.microsoft.com/office/drawing/2014/main" id="{78B9C3E7-B228-4478-9F98-498614F2D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F77BE" w:rsidRPr="00CE2D60" w:rsidRDefault="007F77BE" w:rsidP="00AE5D94">
      <w:pPr>
        <w:rPr>
          <w:rFonts w:ascii="Arial Narrow" w:hAnsi="Arial Narrow"/>
        </w:rPr>
      </w:pPr>
    </w:p>
    <w:p w:rsidR="00D462F3" w:rsidRPr="00D462F3" w:rsidRDefault="00D462F3" w:rsidP="00AE5D94">
      <w:pPr>
        <w:rPr>
          <w:rFonts w:ascii="Arial Narrow" w:hAnsi="Arial Narrow"/>
          <w:sz w:val="14"/>
          <w:szCs w:val="14"/>
        </w:rPr>
      </w:pPr>
      <w:bookmarkStart w:id="0" w:name="_GoBack"/>
      <w:r>
        <w:rPr>
          <w:noProof/>
        </w:rPr>
        <w:lastRenderedPageBreak/>
        <w:drawing>
          <wp:inline distT="0" distB="0" distL="0" distR="0" wp14:anchorId="1C35E232" wp14:editId="1F8CBD67">
            <wp:extent cx="6144260" cy="3016250"/>
            <wp:effectExtent l="0" t="0" r="8890" b="0"/>
            <wp:docPr id="6" name="Diagram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D462F3" w:rsidRPr="00D462F3" w:rsidRDefault="00D462F3" w:rsidP="00AE5D94">
      <w:pPr>
        <w:rPr>
          <w:rFonts w:ascii="Arial Narrow" w:hAnsi="Arial Narrow"/>
          <w:sz w:val="14"/>
          <w:szCs w:val="14"/>
        </w:rPr>
      </w:pPr>
      <w:r>
        <w:rPr>
          <w:noProof/>
        </w:rPr>
        <w:drawing>
          <wp:inline distT="0" distB="0" distL="0" distR="0" wp14:anchorId="413C4E2B" wp14:editId="4BCE110F">
            <wp:extent cx="5956300" cy="2495550"/>
            <wp:effectExtent l="0" t="0" r="6350" b="0"/>
            <wp:docPr id="7" name="Diagram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77BE" w:rsidRPr="00CE2D60" w:rsidRDefault="007F77BE" w:rsidP="00AE5D94">
      <w:pPr>
        <w:rPr>
          <w:rFonts w:ascii="Arial Narrow" w:hAnsi="Arial Narrow"/>
          <w:i/>
          <w:iCs/>
          <w:sz w:val="14"/>
          <w:szCs w:val="14"/>
        </w:rPr>
      </w:pPr>
      <w:r w:rsidRPr="00CE2D60">
        <w:rPr>
          <w:rFonts w:ascii="Arial Narrow" w:hAnsi="Arial Narrow"/>
          <w:i/>
          <w:iCs/>
          <w:sz w:val="14"/>
          <w:szCs w:val="14"/>
        </w:rPr>
        <w:t>Det finns ingen officiell statistik över det egna kapital som byggts upp i bostaden. Däremot är det möjligt att beräkna storleken på hushållens egna kapital i bostaden från deklarationsuppgifter och snittpriser för småhus. Data har analyserats för samtliga generationer, från 40-talister till 80-talister. Beräkningen har gjorts för hushåll boende i småhus och för samtliga distrikt har data över deklarationsuppgifter sammanställts. Från hushållens ränteutgifter har ett potentiellt lånebelopp beräknats. Detta lån har sedan ställts i relation till småhusets värde. I redovisningen nedan har sedan samtliga områden summerats till ett värde för respektive kommun. En viss del av ränteutgifterna är inte direkt kopplade till småhus. Detta illustreras tydligt av att så pass många 80-talister har ett negativt eget kapital i småhuset. Det ska inte tolkas som att lånet på bostaden är större än bostadens värde utan snarare att det finns andra typer av konsumtionskrediter som belastar hushållen.</w:t>
      </w:r>
    </w:p>
    <w:p w:rsidR="007F77BE" w:rsidRPr="00CE2D60" w:rsidRDefault="007F77BE" w:rsidP="00AE5D94">
      <w:pPr>
        <w:rPr>
          <w:rFonts w:ascii="Arial Narrow" w:hAnsi="Arial Narrow"/>
          <w:i/>
          <w:iCs/>
          <w:sz w:val="14"/>
          <w:szCs w:val="14"/>
        </w:rPr>
      </w:pPr>
    </w:p>
    <w:p w:rsidR="007F77BE" w:rsidRPr="00CE2D60" w:rsidRDefault="007F77BE" w:rsidP="00AE5D94">
      <w:pPr>
        <w:rPr>
          <w:rFonts w:ascii="Arial Narrow" w:hAnsi="Arial Narrow"/>
          <w:i/>
          <w:iCs/>
          <w:sz w:val="14"/>
          <w:szCs w:val="14"/>
        </w:rPr>
      </w:pPr>
    </w:p>
    <w:p w:rsidR="007F77BE" w:rsidRPr="00AE5D94" w:rsidRDefault="007F77BE" w:rsidP="007F77BE">
      <w:pPr>
        <w:keepNext/>
        <w:keepLines/>
        <w:spacing w:before="600" w:after="60"/>
        <w:contextualSpacing/>
        <w:outlineLvl w:val="0"/>
        <w:rPr>
          <w:rFonts w:ascii="Arial Narrow" w:eastAsiaTheme="majorEastAsia" w:hAnsi="Arial Narrow" w:cstheme="majorBidi"/>
          <w:color w:val="0070C0"/>
          <w:sz w:val="28"/>
          <w:szCs w:val="20"/>
        </w:rPr>
      </w:pPr>
      <w:r w:rsidRPr="00CE2D60">
        <w:rPr>
          <w:rFonts w:ascii="Arial Narrow" w:eastAsiaTheme="majorEastAsia" w:hAnsi="Arial Narrow" w:cstheme="majorBidi"/>
          <w:color w:val="0070C0"/>
          <w:sz w:val="28"/>
          <w:szCs w:val="20"/>
        </w:rPr>
        <w:t>2000-generationens framtida bostadskarriär – existerar den?</w:t>
      </w:r>
    </w:p>
    <w:p w:rsidR="007F77BE" w:rsidRPr="00CE2D60" w:rsidRDefault="007F77BE" w:rsidP="007F77BE">
      <w:pPr>
        <w:rPr>
          <w:rFonts w:ascii="Arial Narrow" w:hAnsi="Arial Narrow"/>
        </w:rPr>
      </w:pPr>
      <w:r w:rsidRPr="00CE2D60">
        <w:rPr>
          <w:rFonts w:ascii="Arial Narrow" w:hAnsi="Arial Narrow"/>
        </w:rPr>
        <w:t>För flera generationer har alltså förmögenhetsbildningen i bostaden varit omfattande trots begränsat eget sparande vid sidan av sparandet som genererats av boendet. Mycket talar dock för att villkoren för de hushåll som föddes under 1990-talet och början av 2000-talet och nu etablerar sig på ägarmarknaden är skilda från de villkor som gällt för tidigare generationer. Det gäller flera fundamentala förutsättningar vid bostadsköp:</w:t>
      </w:r>
    </w:p>
    <w:p w:rsidR="007F77BE" w:rsidRPr="00CE2D60" w:rsidRDefault="007F77BE" w:rsidP="007F77BE">
      <w:pPr>
        <w:rPr>
          <w:rFonts w:ascii="Arial Narrow" w:hAnsi="Arial Narrow"/>
        </w:rPr>
      </w:pPr>
      <w:r w:rsidRPr="00CE2D60">
        <w:rPr>
          <w:rFonts w:ascii="Arial Narrow" w:hAnsi="Arial Narrow"/>
        </w:rPr>
        <w:t>Den reala prisnivån för bostäder är högre än under tidigare decennier,</w:t>
      </w:r>
    </w:p>
    <w:p w:rsidR="007F77BE" w:rsidRPr="00CE2D60" w:rsidRDefault="007F77BE" w:rsidP="007F77BE">
      <w:pPr>
        <w:rPr>
          <w:rFonts w:ascii="Arial Narrow" w:hAnsi="Arial Narrow"/>
        </w:rPr>
      </w:pPr>
      <w:r w:rsidRPr="00CE2D60">
        <w:rPr>
          <w:rFonts w:ascii="Arial Narrow" w:hAnsi="Arial Narrow"/>
        </w:rPr>
        <w:lastRenderedPageBreak/>
        <w:t>Återreglering av bolånemarknaden: hushållen hindras både genom bolånetaket och genom KALP-prövningen från att förvärva bostäder med höga belåningsgrader,</w:t>
      </w:r>
    </w:p>
    <w:p w:rsidR="007F77BE" w:rsidRPr="00CE2D60" w:rsidRDefault="007F77BE" w:rsidP="007F77BE">
      <w:pPr>
        <w:rPr>
          <w:rFonts w:ascii="Arial Narrow" w:hAnsi="Arial Narrow"/>
        </w:rPr>
      </w:pPr>
      <w:r w:rsidRPr="00CE2D60">
        <w:rPr>
          <w:rFonts w:ascii="Arial Narrow" w:hAnsi="Arial Narrow"/>
        </w:rPr>
        <w:t>Inflationstakten är lägre, vilket gör att den automatiska reala amorteringen av skulder sker i långsammare takt.</w:t>
      </w:r>
    </w:p>
    <w:p w:rsidR="007F77BE" w:rsidRPr="00CE2D60" w:rsidRDefault="007F77BE" w:rsidP="007F77BE">
      <w:pPr>
        <w:rPr>
          <w:rFonts w:ascii="Arial Narrow" w:hAnsi="Arial Narrow"/>
        </w:rPr>
      </w:pPr>
      <w:r w:rsidRPr="00CE2D60">
        <w:rPr>
          <w:rFonts w:ascii="Arial Narrow" w:hAnsi="Arial Narrow"/>
        </w:rPr>
        <w:t>Den fallande och numer historiskt låga räntenivån innebär visserligen att hushållens räntebetalningar är låga, men bidrar istället till den realt högre prisnivån som igenom kreditprövningen i sig utgör en tröskel för många förstagångsköpare.</w:t>
      </w:r>
    </w:p>
    <w:p w:rsidR="007F77BE" w:rsidRPr="00CE2D60" w:rsidRDefault="007F77BE" w:rsidP="007F77BE">
      <w:pPr>
        <w:rPr>
          <w:rFonts w:ascii="Arial Narrow" w:hAnsi="Arial Narrow"/>
        </w:rPr>
      </w:pPr>
      <w:r w:rsidRPr="00CE2D60">
        <w:rPr>
          <w:rFonts w:ascii="Arial Narrow" w:hAnsi="Arial Narrow"/>
        </w:rPr>
        <w:t>Kreditprövningen har skärpts betydligt det senaste decenniet jämfört med tidigare perioder. Sedan några år tillbaka har hushållens möjligheter att få ett bolån påverkats av en rad olika regelförändringar, de viktigaste är:</w:t>
      </w:r>
    </w:p>
    <w:p w:rsidR="007F77BE" w:rsidRPr="00CE2D60" w:rsidRDefault="007F77BE" w:rsidP="007F77BE">
      <w:pPr>
        <w:ind w:left="720"/>
        <w:rPr>
          <w:rFonts w:ascii="Arial Narrow" w:hAnsi="Arial Narrow"/>
        </w:rPr>
      </w:pPr>
      <w:r w:rsidRPr="00CE2D60">
        <w:rPr>
          <w:rFonts w:ascii="Arial Narrow" w:hAnsi="Arial Narrow"/>
        </w:rPr>
        <w:t>Bolånetaket år 2010. Nya bolån får endast ges upp till 85 procent av marknadsvärdet. Ytterligare lånefinansiering måste ske med blancolån som har högre ränta och snabbare amorteringstakt än vanliga bostadslån.</w:t>
      </w:r>
    </w:p>
    <w:p w:rsidR="007F77BE" w:rsidRPr="00CE2D60" w:rsidRDefault="007F77BE" w:rsidP="007F77BE">
      <w:pPr>
        <w:ind w:left="720" w:hanging="720"/>
        <w:rPr>
          <w:rFonts w:ascii="Arial Narrow" w:hAnsi="Arial Narrow"/>
        </w:rPr>
      </w:pPr>
      <w:r w:rsidRPr="00CE2D60">
        <w:rPr>
          <w:rFonts w:ascii="Arial Narrow" w:hAnsi="Arial Narrow"/>
        </w:rPr>
        <w:tab/>
        <w:t>Amorteringskrav 1, år 2016. Alla bolån med en belåningsgrad över 50 procent ska amorteras löpande. Lån med en belåningsgrad över 70 procent ska amorteras med två procent per år och lån mellan 50 och 70 procent med en procent per år.</w:t>
      </w:r>
    </w:p>
    <w:p w:rsidR="007F77BE" w:rsidRPr="00CE2D60" w:rsidRDefault="007F77BE" w:rsidP="007F77BE">
      <w:pPr>
        <w:ind w:left="720"/>
        <w:rPr>
          <w:rFonts w:ascii="Arial Narrow" w:hAnsi="Arial Narrow"/>
        </w:rPr>
      </w:pPr>
      <w:r w:rsidRPr="00CE2D60">
        <w:rPr>
          <w:rFonts w:ascii="Arial Narrow" w:hAnsi="Arial Narrow"/>
        </w:rPr>
        <w:t>Skuldkvotstak och skärpta Kvar-att-leva-på-kalkyler, så kallade KALP-kalkyler, år 2016–2017. I dialog med Finansinspektionen skärpte bankerna sin kreditgivning genom ändring av KALP-kalkyler där hushållen stresstestas med en ränta på 6 till 8 procent, tidigare var stressräntan i flera banker lägre. Dessutom började interna regler för skuldkvotstak tillämpas, det vill säga flera banker begränsade lånens storlek i relation till låntagarens inkomst, även om låntagarens återbetalningsförmåga bedömdes tillfredsställande i en KALP-kalkyl.</w:t>
      </w:r>
    </w:p>
    <w:p w:rsidR="007F77BE" w:rsidRPr="00CE2D60" w:rsidRDefault="007F77BE" w:rsidP="007F77BE">
      <w:pPr>
        <w:ind w:left="720"/>
        <w:rPr>
          <w:rFonts w:ascii="Arial Narrow" w:hAnsi="Arial Narrow"/>
        </w:rPr>
      </w:pPr>
      <w:r w:rsidRPr="00CE2D60">
        <w:rPr>
          <w:rFonts w:ascii="Arial Narrow" w:hAnsi="Arial Narrow"/>
        </w:rPr>
        <w:t>Amorteringskrav 2, år 2018. I mars 2018 skärptes amorteringskravet ytterligare genom att lån där skuldkvoten, skuldens storlek i förhållande till hushållets bruttoinkomst, överstiger 450 procent, måste amorteras med ytterligare en procentenhet. Det betyder att lån med en belåningsgrad över 70 procent ska amorteras med 3 procent, lån med belåningsgrad mellan 50 och 70 procent med 2 procent och lån under 50 procents belåningsgrad med en procent per år.</w:t>
      </w:r>
    </w:p>
    <w:p w:rsidR="007F77BE" w:rsidRDefault="007F77BE" w:rsidP="007F77BE">
      <w:pPr>
        <w:rPr>
          <w:rFonts w:ascii="Arial Narrow" w:hAnsi="Arial Narrow"/>
        </w:rPr>
      </w:pPr>
      <w:r w:rsidRPr="00CE2D60">
        <w:rPr>
          <w:rFonts w:ascii="Arial Narrow" w:hAnsi="Arial Narrow"/>
        </w:rPr>
        <w:t>Sammantaget innebär dessa regleringar att många hushåll inte klarar kreditprövningen. För det första måste hushållet ha en kontantinsats om 15 procent av köpeskillingen i sparkapital. Att detta i sig påverkat olika hushålls möjligheter att köpa en bostad. Att spara eller att ha kapital, verkar vara vägen in på bostadsmarknaden för dagens unga.</w:t>
      </w:r>
    </w:p>
    <w:p w:rsidR="006E7C5D" w:rsidRDefault="006E7C5D" w:rsidP="007F77BE">
      <w:pPr>
        <w:rPr>
          <w:rFonts w:ascii="Arial Narrow" w:hAnsi="Arial Narrow"/>
        </w:rPr>
      </w:pPr>
    </w:p>
    <w:p w:rsidR="007F77BE" w:rsidRPr="00CE2D60" w:rsidRDefault="00CE2D60" w:rsidP="007F77BE">
      <w:pPr>
        <w:rPr>
          <w:rFonts w:ascii="Arial Narrow" w:hAnsi="Arial Narrow"/>
        </w:rPr>
      </w:pPr>
      <w:r w:rsidRPr="00CE2D60">
        <w:rPr>
          <w:rFonts w:ascii="Arial Narrow" w:hAnsi="Arial Narrow"/>
        </w:rPr>
        <w:t>Stockholm 2020-11-</w:t>
      </w:r>
      <w:r w:rsidR="009A76C6">
        <w:rPr>
          <w:rFonts w:ascii="Arial Narrow" w:hAnsi="Arial Narrow"/>
        </w:rPr>
        <w:t>23</w:t>
      </w:r>
    </w:p>
    <w:p w:rsidR="007F77BE" w:rsidRPr="00CE2D60" w:rsidRDefault="007F77BE" w:rsidP="007F77BE">
      <w:pPr>
        <w:rPr>
          <w:rFonts w:ascii="Arial Narrow" w:hAnsi="Arial Narrow"/>
          <w:b/>
          <w:bCs/>
        </w:rPr>
      </w:pPr>
      <w:r w:rsidRPr="00CE2D60">
        <w:rPr>
          <w:rFonts w:ascii="Arial Narrow" w:hAnsi="Arial Narrow"/>
          <w:b/>
          <w:bCs/>
        </w:rPr>
        <w:t>Emma Persson, privatekonom på Länsförsäkringar</w:t>
      </w:r>
    </w:p>
    <w:p w:rsidR="007F77BE" w:rsidRPr="00CE2D60" w:rsidRDefault="007F77BE" w:rsidP="00AE5D94">
      <w:pPr>
        <w:rPr>
          <w:rFonts w:ascii="Arial Narrow" w:hAnsi="Arial Narrow"/>
          <w:sz w:val="14"/>
          <w:szCs w:val="14"/>
        </w:rPr>
      </w:pPr>
    </w:p>
    <w:sectPr w:rsidR="007F77BE" w:rsidRPr="00CE2D60" w:rsidSect="0089714F">
      <w:footerReference w:type="default" r:id="rId13"/>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1664" w:rsidRDefault="009E1664" w:rsidP="00C6554A">
      <w:pPr>
        <w:spacing w:before="0" w:after="0" w:line="240" w:lineRule="auto"/>
      </w:pPr>
      <w:r>
        <w:separator/>
      </w:r>
    </w:p>
  </w:endnote>
  <w:endnote w:type="continuationSeparator" w:id="0">
    <w:p w:rsidR="009E1664" w:rsidRDefault="009E166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TXinwei">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63EE" w:rsidRPr="00CE2D60" w:rsidRDefault="00ED7C44">
    <w:pPr>
      <w:pStyle w:val="Sidfot"/>
      <w:rPr>
        <w:rFonts w:ascii="Arial Narrow" w:hAnsi="Arial Narrow"/>
        <w:noProof/>
      </w:rPr>
    </w:pPr>
    <w:r w:rsidRPr="00CE2D60">
      <w:rPr>
        <w:rFonts w:ascii="Arial Narrow" w:hAnsi="Arial Narrow"/>
        <w:noProof/>
        <w:lang w:bidi="sv-SE"/>
      </w:rPr>
      <w:t xml:space="preserve">Sidan </w:t>
    </w:r>
    <w:r w:rsidRPr="00CE2D60">
      <w:rPr>
        <w:rFonts w:ascii="Arial Narrow" w:hAnsi="Arial Narrow"/>
        <w:noProof/>
        <w:lang w:bidi="sv-SE"/>
      </w:rPr>
      <w:fldChar w:fldCharType="begin"/>
    </w:r>
    <w:r w:rsidRPr="00CE2D60">
      <w:rPr>
        <w:rFonts w:ascii="Arial Narrow" w:hAnsi="Arial Narrow"/>
        <w:noProof/>
        <w:lang w:bidi="sv-SE"/>
      </w:rPr>
      <w:instrText xml:space="preserve"> PAGE  \* Arabic  \* MERGEFORMAT </w:instrText>
    </w:r>
    <w:r w:rsidRPr="00CE2D60">
      <w:rPr>
        <w:rFonts w:ascii="Arial Narrow" w:hAnsi="Arial Narrow"/>
        <w:noProof/>
        <w:lang w:bidi="sv-SE"/>
      </w:rPr>
      <w:fldChar w:fldCharType="separate"/>
    </w:r>
    <w:r w:rsidR="0089714F" w:rsidRPr="00CE2D60">
      <w:rPr>
        <w:rFonts w:ascii="Arial Narrow" w:hAnsi="Arial Narrow"/>
        <w:noProof/>
        <w:lang w:bidi="sv-SE"/>
      </w:rPr>
      <w:t>1</w:t>
    </w:r>
    <w:r w:rsidRPr="00CE2D60">
      <w:rPr>
        <w:rFonts w:ascii="Arial Narrow" w:hAnsi="Arial Narrow"/>
        <w:noProof/>
        <w:lang w:bidi="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1664" w:rsidRDefault="009E1664" w:rsidP="00C6554A">
      <w:pPr>
        <w:spacing w:before="0" w:after="0" w:line="240" w:lineRule="auto"/>
      </w:pPr>
      <w:r>
        <w:separator/>
      </w:r>
    </w:p>
  </w:footnote>
  <w:footnote w:type="continuationSeparator" w:id="0">
    <w:p w:rsidR="009E1664" w:rsidRDefault="009E1664"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ktlista"/>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8"/>
  </w:num>
  <w:num w:numId="3">
    <w:abstractNumId w:val="8"/>
  </w:num>
  <w:num w:numId="4">
    <w:abstractNumId w:val="9"/>
  </w:num>
  <w:num w:numId="5">
    <w:abstractNumId w:val="12"/>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664"/>
    <w:rsid w:val="002554CD"/>
    <w:rsid w:val="00293B83"/>
    <w:rsid w:val="002A3BE3"/>
    <w:rsid w:val="002B1E6D"/>
    <w:rsid w:val="002B4294"/>
    <w:rsid w:val="00301581"/>
    <w:rsid w:val="00333D0D"/>
    <w:rsid w:val="004927DD"/>
    <w:rsid w:val="004C049F"/>
    <w:rsid w:val="005000E2"/>
    <w:rsid w:val="006A3CE7"/>
    <w:rsid w:val="006E7C5D"/>
    <w:rsid w:val="00735EB6"/>
    <w:rsid w:val="007F77BE"/>
    <w:rsid w:val="0089714F"/>
    <w:rsid w:val="009A76C6"/>
    <w:rsid w:val="009E1664"/>
    <w:rsid w:val="00AE5D94"/>
    <w:rsid w:val="00C6554A"/>
    <w:rsid w:val="00CE2D60"/>
    <w:rsid w:val="00D462F3"/>
    <w:rsid w:val="00E94BD2"/>
    <w:rsid w:val="00ED7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15401D"/>
  <w15:chartTrackingRefBased/>
  <w15:docId w15:val="{E407655C-D7DC-4BEA-B5D1-A10089E6E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sv-SE"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7BE"/>
  </w:style>
  <w:style w:type="paragraph" w:styleId="Rubrik1">
    <w:name w:val="heading 1"/>
    <w:basedOn w:val="Normal"/>
    <w:next w:val="Normal"/>
    <w:link w:val="Rubrik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Rubrik2">
    <w:name w:val="heading 2"/>
    <w:basedOn w:val="Normal"/>
    <w:next w:val="Normal"/>
    <w:link w:val="Rubrik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Rubrik3">
    <w:name w:val="heading 3"/>
    <w:basedOn w:val="Normal"/>
    <w:next w:val="Normal"/>
    <w:link w:val="Rubrik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Rubrik6">
    <w:name w:val="heading 6"/>
    <w:basedOn w:val="Normal"/>
    <w:next w:val="Normal"/>
    <w:link w:val="Rubrik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Rubrik7">
    <w:name w:val="heading 7"/>
    <w:basedOn w:val="Normal"/>
    <w:next w:val="Normal"/>
    <w:link w:val="Rubrik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Rubrik8">
    <w:name w:val="heading 8"/>
    <w:basedOn w:val="Normal"/>
    <w:next w:val="Normal"/>
    <w:link w:val="Rubrik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33D0D"/>
    <w:rPr>
      <w:rFonts w:asciiTheme="majorHAnsi" w:eastAsiaTheme="majorEastAsia" w:hAnsiTheme="majorHAnsi" w:cstheme="majorBidi"/>
      <w:color w:val="007789" w:themeColor="accent1" w:themeShade="BF"/>
      <w:sz w:val="32"/>
    </w:rPr>
  </w:style>
  <w:style w:type="character" w:customStyle="1" w:styleId="Rubrik2Char">
    <w:name w:val="Rubrik 2 Char"/>
    <w:basedOn w:val="Standardstycketeckensnitt"/>
    <w:link w:val="Rubrik2"/>
    <w:uiPriority w:val="9"/>
    <w:rsid w:val="00333D0D"/>
    <w:rPr>
      <w:rFonts w:asciiTheme="majorHAnsi" w:eastAsiaTheme="majorEastAsia" w:hAnsiTheme="majorHAnsi" w:cstheme="majorBidi"/>
      <w:caps/>
      <w:color w:val="007789" w:themeColor="accent1" w:themeShade="BF"/>
      <w:sz w:val="24"/>
    </w:rPr>
  </w:style>
  <w:style w:type="paragraph" w:customStyle="1" w:styleId="Kontaktinformation">
    <w:name w:val="Kontaktinformation"/>
    <w:basedOn w:val="Normal"/>
    <w:uiPriority w:val="4"/>
    <w:qFormat/>
    <w:rsid w:val="00C6554A"/>
    <w:pPr>
      <w:spacing w:before="0" w:after="0"/>
      <w:jc w:val="center"/>
    </w:pPr>
  </w:style>
  <w:style w:type="paragraph" w:styleId="Punktlista">
    <w:name w:val="List Bullet"/>
    <w:basedOn w:val="Normal"/>
    <w:uiPriority w:val="10"/>
    <w:unhideWhenUsed/>
    <w:qFormat/>
    <w:rsid w:val="00C6554A"/>
    <w:pPr>
      <w:numPr>
        <w:numId w:val="4"/>
      </w:numPr>
    </w:pPr>
  </w:style>
  <w:style w:type="paragraph" w:styleId="Rubrik">
    <w:name w:val="Title"/>
    <w:basedOn w:val="Normal"/>
    <w:link w:val="Rubrik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RubrikChar">
    <w:name w:val="Rubrik Char"/>
    <w:basedOn w:val="Standardstycketeckensnitt"/>
    <w:link w:val="Rubrik"/>
    <w:uiPriority w:val="2"/>
    <w:rsid w:val="00333D0D"/>
    <w:rPr>
      <w:rFonts w:asciiTheme="majorHAnsi" w:eastAsiaTheme="majorEastAsia" w:hAnsiTheme="majorHAnsi" w:cstheme="majorBidi"/>
      <w:color w:val="007789" w:themeColor="accent1" w:themeShade="BF"/>
      <w:kern w:val="28"/>
      <w:sz w:val="60"/>
    </w:rPr>
  </w:style>
  <w:style w:type="paragraph" w:styleId="Underrubrik">
    <w:name w:val="Subtitle"/>
    <w:basedOn w:val="Normal"/>
    <w:link w:val="Underrubrik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UnderrubrikChar">
    <w:name w:val="Underrubrik Char"/>
    <w:basedOn w:val="Standardstycketeckensnitt"/>
    <w:link w:val="Underrubrik"/>
    <w:uiPriority w:val="3"/>
    <w:rsid w:val="00333D0D"/>
    <w:rPr>
      <w:rFonts w:asciiTheme="majorHAnsi" w:eastAsiaTheme="majorEastAsia" w:hAnsiTheme="majorHAnsi" w:cstheme="majorBidi"/>
      <w:caps/>
      <w:sz w:val="26"/>
    </w:rPr>
  </w:style>
  <w:style w:type="paragraph" w:styleId="Sidfot">
    <w:name w:val="footer"/>
    <w:basedOn w:val="Normal"/>
    <w:link w:val="SidfotChar"/>
    <w:uiPriority w:val="99"/>
    <w:unhideWhenUsed/>
    <w:rsid w:val="00C6554A"/>
    <w:pPr>
      <w:spacing w:before="0" w:after="0" w:line="240" w:lineRule="auto"/>
      <w:jc w:val="right"/>
    </w:pPr>
    <w:rPr>
      <w:caps/>
    </w:rPr>
  </w:style>
  <w:style w:type="character" w:customStyle="1" w:styleId="SidfotChar">
    <w:name w:val="Sidfot Char"/>
    <w:basedOn w:val="Standardstycketeckensnitt"/>
    <w:link w:val="Sidfot"/>
    <w:uiPriority w:val="99"/>
    <w:rsid w:val="00C6554A"/>
    <w:rPr>
      <w:caps/>
    </w:rPr>
  </w:style>
  <w:style w:type="paragraph" w:customStyle="1" w:styleId="Foto">
    <w:name w:val="Foto"/>
    <w:basedOn w:val="Normal"/>
    <w:uiPriority w:val="1"/>
    <w:qFormat/>
    <w:rsid w:val="00C6554A"/>
    <w:pPr>
      <w:spacing w:before="0" w:after="0" w:line="240" w:lineRule="auto"/>
      <w:jc w:val="center"/>
    </w:pPr>
  </w:style>
  <w:style w:type="paragraph" w:styleId="Sidhuvud">
    <w:name w:val="header"/>
    <w:basedOn w:val="Normal"/>
    <w:link w:val="SidhuvudChar"/>
    <w:uiPriority w:val="99"/>
    <w:unhideWhenUsed/>
    <w:rsid w:val="00C6554A"/>
    <w:pPr>
      <w:spacing w:before="0" w:after="0" w:line="240" w:lineRule="auto"/>
    </w:pPr>
  </w:style>
  <w:style w:type="character" w:customStyle="1" w:styleId="SidhuvudChar">
    <w:name w:val="Sidhuvud Char"/>
    <w:basedOn w:val="Standardstycketeckensnitt"/>
    <w:link w:val="Sidhuvud"/>
    <w:uiPriority w:val="99"/>
    <w:rsid w:val="00C6554A"/>
    <w:rPr>
      <w:color w:val="595959" w:themeColor="text1" w:themeTint="A6"/>
      <w:sz w:val="20"/>
      <w:szCs w:val="20"/>
      <w:lang w:eastAsia="ja-JP"/>
    </w:rPr>
  </w:style>
  <w:style w:type="paragraph" w:styleId="Numreradlista">
    <w:name w:val="List Number"/>
    <w:basedOn w:val="Normal"/>
    <w:uiPriority w:val="11"/>
    <w:unhideWhenUsed/>
    <w:qFormat/>
    <w:rsid w:val="00C6554A"/>
    <w:pPr>
      <w:numPr>
        <w:numId w:val="3"/>
      </w:numPr>
      <w:contextualSpacing/>
    </w:pPr>
  </w:style>
  <w:style w:type="character" w:customStyle="1" w:styleId="Rubrik3Char">
    <w:name w:val="Rubrik 3 Char"/>
    <w:basedOn w:val="Standardstycketeckensnitt"/>
    <w:link w:val="Rubrik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Rubrik8Char">
    <w:name w:val="Rubrik 8 Char"/>
    <w:basedOn w:val="Standardstycketeckensnitt"/>
    <w:link w:val="Rubrik8"/>
    <w:uiPriority w:val="9"/>
    <w:semiHidden/>
    <w:rsid w:val="00C6554A"/>
    <w:rPr>
      <w:rFonts w:asciiTheme="majorHAnsi" w:eastAsiaTheme="majorEastAsia" w:hAnsiTheme="majorHAnsi" w:cstheme="majorBidi"/>
      <w:color w:val="272727" w:themeColor="text1" w:themeTint="D8"/>
      <w:szCs w:val="21"/>
    </w:rPr>
  </w:style>
  <w:style w:type="character" w:customStyle="1" w:styleId="Rubrik9Char">
    <w:name w:val="Rubrik 9 Char"/>
    <w:basedOn w:val="Standardstycketeckensnitt"/>
    <w:link w:val="Rubrik9"/>
    <w:uiPriority w:val="9"/>
    <w:semiHidden/>
    <w:rsid w:val="00C6554A"/>
    <w:rPr>
      <w:rFonts w:asciiTheme="majorHAnsi" w:eastAsiaTheme="majorEastAsia" w:hAnsiTheme="majorHAnsi" w:cstheme="majorBidi"/>
      <w:i/>
      <w:iCs/>
      <w:color w:val="272727" w:themeColor="text1" w:themeTint="D8"/>
      <w:szCs w:val="21"/>
    </w:rPr>
  </w:style>
  <w:style w:type="character" w:styleId="Starkbetoning">
    <w:name w:val="Intense Emphasis"/>
    <w:basedOn w:val="Standardstycketeckensnitt"/>
    <w:uiPriority w:val="21"/>
    <w:semiHidden/>
    <w:unhideWhenUsed/>
    <w:qFormat/>
    <w:rsid w:val="00C6554A"/>
    <w:rPr>
      <w:i/>
      <w:iCs/>
      <w:color w:val="007789" w:themeColor="accent1" w:themeShade="BF"/>
    </w:rPr>
  </w:style>
  <w:style w:type="paragraph" w:styleId="Starktcitat">
    <w:name w:val="Intense Quote"/>
    <w:basedOn w:val="Normal"/>
    <w:next w:val="Normal"/>
    <w:link w:val="Starktcit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StarktcitatChar">
    <w:name w:val="Starkt citat Char"/>
    <w:basedOn w:val="Standardstycketeckensnitt"/>
    <w:link w:val="Starktcitat"/>
    <w:uiPriority w:val="30"/>
    <w:semiHidden/>
    <w:rsid w:val="00C6554A"/>
    <w:rPr>
      <w:i/>
      <w:iCs/>
      <w:color w:val="007789" w:themeColor="accent1" w:themeShade="BF"/>
    </w:rPr>
  </w:style>
  <w:style w:type="character" w:styleId="Starkreferens">
    <w:name w:val="Intense Reference"/>
    <w:basedOn w:val="Standardstycketeckensnitt"/>
    <w:uiPriority w:val="32"/>
    <w:semiHidden/>
    <w:unhideWhenUsed/>
    <w:qFormat/>
    <w:rsid w:val="00C6554A"/>
    <w:rPr>
      <w:b/>
      <w:bCs/>
      <w:caps w:val="0"/>
      <w:smallCaps/>
      <w:color w:val="007789" w:themeColor="accent1" w:themeShade="BF"/>
      <w:spacing w:val="5"/>
    </w:rPr>
  </w:style>
  <w:style w:type="paragraph" w:styleId="Beskrivning">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ngtext">
    <w:name w:val="Balloon Text"/>
    <w:basedOn w:val="Normal"/>
    <w:link w:val="BallongtextChar"/>
    <w:uiPriority w:val="99"/>
    <w:semiHidden/>
    <w:unhideWhenUsed/>
    <w:rsid w:val="00C6554A"/>
    <w:pPr>
      <w:spacing w:before="0" w:after="0" w:line="240" w:lineRule="auto"/>
    </w:pPr>
    <w:rPr>
      <w:rFonts w:ascii="Segoe UI" w:hAnsi="Segoe UI" w:cs="Segoe UI"/>
      <w:szCs w:val="18"/>
    </w:rPr>
  </w:style>
  <w:style w:type="character" w:customStyle="1" w:styleId="BallongtextChar">
    <w:name w:val="Ballongtext Char"/>
    <w:basedOn w:val="Standardstycketeckensnitt"/>
    <w:link w:val="Ballongtext"/>
    <w:uiPriority w:val="99"/>
    <w:semiHidden/>
    <w:rsid w:val="00C6554A"/>
    <w:rPr>
      <w:rFonts w:ascii="Segoe UI" w:hAnsi="Segoe UI" w:cs="Segoe UI"/>
      <w:szCs w:val="18"/>
    </w:rPr>
  </w:style>
  <w:style w:type="paragraph" w:styleId="Indragetstycke">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rdtext3">
    <w:name w:val="Body Text 3"/>
    <w:basedOn w:val="Normal"/>
    <w:link w:val="Brdtext3Char"/>
    <w:uiPriority w:val="99"/>
    <w:semiHidden/>
    <w:unhideWhenUsed/>
    <w:rsid w:val="00C6554A"/>
    <w:pPr>
      <w:spacing w:after="120"/>
    </w:pPr>
    <w:rPr>
      <w:szCs w:val="16"/>
    </w:rPr>
  </w:style>
  <w:style w:type="character" w:customStyle="1" w:styleId="Brdtext3Char">
    <w:name w:val="Brödtext 3 Char"/>
    <w:basedOn w:val="Standardstycketeckensnitt"/>
    <w:link w:val="Brdtext3"/>
    <w:uiPriority w:val="99"/>
    <w:semiHidden/>
    <w:rsid w:val="00C6554A"/>
    <w:rPr>
      <w:szCs w:val="16"/>
    </w:rPr>
  </w:style>
  <w:style w:type="paragraph" w:styleId="Brdtextmedindrag3">
    <w:name w:val="Body Text Indent 3"/>
    <w:basedOn w:val="Normal"/>
    <w:link w:val="Brdtextmedindrag3Char"/>
    <w:uiPriority w:val="99"/>
    <w:semiHidden/>
    <w:unhideWhenUsed/>
    <w:rsid w:val="00C6554A"/>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C6554A"/>
    <w:rPr>
      <w:szCs w:val="16"/>
    </w:rPr>
  </w:style>
  <w:style w:type="character" w:styleId="Kommentarsreferens">
    <w:name w:val="annotation reference"/>
    <w:basedOn w:val="Standardstycketeckensnitt"/>
    <w:uiPriority w:val="99"/>
    <w:semiHidden/>
    <w:unhideWhenUsed/>
    <w:rsid w:val="00C6554A"/>
    <w:rPr>
      <w:sz w:val="22"/>
      <w:szCs w:val="16"/>
    </w:rPr>
  </w:style>
  <w:style w:type="paragraph" w:styleId="Kommentarer">
    <w:name w:val="annotation text"/>
    <w:basedOn w:val="Normal"/>
    <w:link w:val="KommentarerChar"/>
    <w:uiPriority w:val="99"/>
    <w:semiHidden/>
    <w:unhideWhenUsed/>
    <w:rsid w:val="00C6554A"/>
    <w:pPr>
      <w:spacing w:line="240" w:lineRule="auto"/>
    </w:pPr>
    <w:rPr>
      <w:szCs w:val="20"/>
    </w:rPr>
  </w:style>
  <w:style w:type="character" w:customStyle="1" w:styleId="KommentarerChar">
    <w:name w:val="Kommentarer Char"/>
    <w:basedOn w:val="Standardstycketeckensnitt"/>
    <w:link w:val="Kommentarer"/>
    <w:uiPriority w:val="99"/>
    <w:semiHidden/>
    <w:rsid w:val="00C6554A"/>
    <w:rPr>
      <w:szCs w:val="20"/>
    </w:rPr>
  </w:style>
  <w:style w:type="paragraph" w:styleId="Kommentarsmne">
    <w:name w:val="annotation subject"/>
    <w:basedOn w:val="Kommentarer"/>
    <w:next w:val="Kommentarer"/>
    <w:link w:val="KommentarsmneChar"/>
    <w:uiPriority w:val="99"/>
    <w:semiHidden/>
    <w:unhideWhenUsed/>
    <w:rsid w:val="00C6554A"/>
    <w:rPr>
      <w:b/>
      <w:bCs/>
    </w:rPr>
  </w:style>
  <w:style w:type="character" w:customStyle="1" w:styleId="KommentarsmneChar">
    <w:name w:val="Kommentarsämne Char"/>
    <w:basedOn w:val="KommentarerChar"/>
    <w:link w:val="Kommentarsmne"/>
    <w:uiPriority w:val="99"/>
    <w:semiHidden/>
    <w:rsid w:val="00C6554A"/>
    <w:rPr>
      <w:b/>
      <w:bCs/>
      <w:szCs w:val="20"/>
    </w:rPr>
  </w:style>
  <w:style w:type="paragraph" w:styleId="Dokumentversikt">
    <w:name w:val="Document Map"/>
    <w:basedOn w:val="Normal"/>
    <w:link w:val="DokumentversiktChar"/>
    <w:uiPriority w:val="99"/>
    <w:semiHidden/>
    <w:unhideWhenUsed/>
    <w:rsid w:val="00C6554A"/>
    <w:pPr>
      <w:spacing w:before="0" w:after="0" w:line="240" w:lineRule="auto"/>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C6554A"/>
    <w:rPr>
      <w:rFonts w:ascii="Segoe UI" w:hAnsi="Segoe UI" w:cs="Segoe UI"/>
      <w:szCs w:val="16"/>
    </w:rPr>
  </w:style>
  <w:style w:type="paragraph" w:styleId="Slutnotstext">
    <w:name w:val="endnote text"/>
    <w:basedOn w:val="Normal"/>
    <w:link w:val="SlutnotstextChar"/>
    <w:uiPriority w:val="99"/>
    <w:semiHidden/>
    <w:unhideWhenUsed/>
    <w:rsid w:val="00C6554A"/>
    <w:pPr>
      <w:spacing w:before="0" w:after="0" w:line="240" w:lineRule="auto"/>
    </w:pPr>
    <w:rPr>
      <w:szCs w:val="20"/>
    </w:rPr>
  </w:style>
  <w:style w:type="character" w:customStyle="1" w:styleId="SlutnotstextChar">
    <w:name w:val="Slutnotstext Char"/>
    <w:basedOn w:val="Standardstycketeckensnitt"/>
    <w:link w:val="Slutnotstext"/>
    <w:uiPriority w:val="99"/>
    <w:semiHidden/>
    <w:rsid w:val="00C6554A"/>
    <w:rPr>
      <w:szCs w:val="20"/>
    </w:rPr>
  </w:style>
  <w:style w:type="paragraph" w:styleId="Avsndaradress-brev">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AnvndHyperlnk">
    <w:name w:val="FollowedHyperlink"/>
    <w:basedOn w:val="Standardstycketeckensnitt"/>
    <w:uiPriority w:val="99"/>
    <w:semiHidden/>
    <w:unhideWhenUsed/>
    <w:rsid w:val="00C6554A"/>
    <w:rPr>
      <w:color w:val="007789" w:themeColor="accent1" w:themeShade="BF"/>
      <w:u w:val="single"/>
    </w:rPr>
  </w:style>
  <w:style w:type="paragraph" w:styleId="Fotnotstext">
    <w:name w:val="footnote text"/>
    <w:basedOn w:val="Normal"/>
    <w:link w:val="FotnotstextChar"/>
    <w:uiPriority w:val="99"/>
    <w:semiHidden/>
    <w:unhideWhenUsed/>
    <w:rsid w:val="00C6554A"/>
    <w:pPr>
      <w:spacing w:before="0" w:after="0" w:line="240" w:lineRule="auto"/>
    </w:pPr>
    <w:rPr>
      <w:szCs w:val="20"/>
    </w:rPr>
  </w:style>
  <w:style w:type="character" w:customStyle="1" w:styleId="FotnotstextChar">
    <w:name w:val="Fotnotstext Char"/>
    <w:basedOn w:val="Standardstycketeckensnitt"/>
    <w:link w:val="Fotnotstext"/>
    <w:uiPriority w:val="99"/>
    <w:semiHidden/>
    <w:rsid w:val="00C6554A"/>
    <w:rPr>
      <w:szCs w:val="20"/>
    </w:rPr>
  </w:style>
  <w:style w:type="character" w:styleId="HTML-kod">
    <w:name w:val="HTML Code"/>
    <w:basedOn w:val="Standardstycketeckensnitt"/>
    <w:uiPriority w:val="99"/>
    <w:semiHidden/>
    <w:unhideWhenUsed/>
    <w:rsid w:val="00C6554A"/>
    <w:rPr>
      <w:rFonts w:ascii="Consolas" w:hAnsi="Consolas"/>
      <w:sz w:val="22"/>
      <w:szCs w:val="20"/>
    </w:rPr>
  </w:style>
  <w:style w:type="character" w:styleId="HTML-tangentbord">
    <w:name w:val="HTML Keyboard"/>
    <w:basedOn w:val="Standardstycketeckensnitt"/>
    <w:uiPriority w:val="99"/>
    <w:semiHidden/>
    <w:unhideWhenUsed/>
    <w:rsid w:val="00C6554A"/>
    <w:rPr>
      <w:rFonts w:ascii="Consolas" w:hAnsi="Consolas"/>
      <w:sz w:val="22"/>
      <w:szCs w:val="20"/>
    </w:rPr>
  </w:style>
  <w:style w:type="paragraph" w:styleId="HTML-frformaterad">
    <w:name w:val="HTML Preformatted"/>
    <w:basedOn w:val="Normal"/>
    <w:link w:val="HTML-frformateradChar"/>
    <w:uiPriority w:val="99"/>
    <w:semiHidden/>
    <w:unhideWhenUsed/>
    <w:rsid w:val="00C6554A"/>
    <w:pPr>
      <w:spacing w:before="0" w:after="0" w:line="240" w:lineRule="auto"/>
    </w:pPr>
    <w:rPr>
      <w:rFonts w:ascii="Consolas" w:hAnsi="Consolas"/>
      <w:szCs w:val="20"/>
    </w:rPr>
  </w:style>
  <w:style w:type="character" w:customStyle="1" w:styleId="HTML-frformateradChar">
    <w:name w:val="HTML - förformaterad Char"/>
    <w:basedOn w:val="Standardstycketeckensnitt"/>
    <w:link w:val="HTML-frformaterad"/>
    <w:uiPriority w:val="99"/>
    <w:semiHidden/>
    <w:rsid w:val="00C6554A"/>
    <w:rPr>
      <w:rFonts w:ascii="Consolas" w:hAnsi="Consolas"/>
      <w:szCs w:val="20"/>
    </w:rPr>
  </w:style>
  <w:style w:type="character" w:styleId="HTML-skrivmaskin">
    <w:name w:val="HTML Typewriter"/>
    <w:basedOn w:val="Standardstycketeckensnitt"/>
    <w:uiPriority w:val="99"/>
    <w:semiHidden/>
    <w:unhideWhenUsed/>
    <w:rsid w:val="00C6554A"/>
    <w:rPr>
      <w:rFonts w:ascii="Consolas" w:hAnsi="Consolas"/>
      <w:sz w:val="22"/>
      <w:szCs w:val="20"/>
    </w:rPr>
  </w:style>
  <w:style w:type="character" w:styleId="Hyperlnk">
    <w:name w:val="Hyperlink"/>
    <w:basedOn w:val="Standardstycketeckensnitt"/>
    <w:uiPriority w:val="99"/>
    <w:semiHidden/>
    <w:unhideWhenUsed/>
    <w:rsid w:val="00C6554A"/>
    <w:rPr>
      <w:color w:val="835D00" w:themeColor="accent3" w:themeShade="80"/>
      <w:u w:val="single"/>
    </w:rPr>
  </w:style>
  <w:style w:type="paragraph" w:styleId="Makrotext">
    <w:name w:val="macro"/>
    <w:link w:val="Mak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C6554A"/>
    <w:rPr>
      <w:rFonts w:ascii="Consolas" w:hAnsi="Consolas"/>
      <w:szCs w:val="20"/>
    </w:rPr>
  </w:style>
  <w:style w:type="character" w:styleId="Platshllartext">
    <w:name w:val="Placeholder Text"/>
    <w:basedOn w:val="Standardstycketeckensnitt"/>
    <w:uiPriority w:val="99"/>
    <w:semiHidden/>
    <w:rsid w:val="00C6554A"/>
    <w:rPr>
      <w:color w:val="595959" w:themeColor="text1" w:themeTint="A6"/>
    </w:rPr>
  </w:style>
  <w:style w:type="paragraph" w:styleId="Oformateradtext">
    <w:name w:val="Plain Text"/>
    <w:basedOn w:val="Normal"/>
    <w:link w:val="OformateradtextChar"/>
    <w:uiPriority w:val="99"/>
    <w:semiHidden/>
    <w:unhideWhenUsed/>
    <w:rsid w:val="00C6554A"/>
    <w:pPr>
      <w:spacing w:before="0" w:after="0" w:line="240" w:lineRule="auto"/>
    </w:pPr>
    <w:rPr>
      <w:rFonts w:ascii="Consolas" w:hAnsi="Consolas"/>
      <w:szCs w:val="21"/>
    </w:rPr>
  </w:style>
  <w:style w:type="character" w:customStyle="1" w:styleId="OformateradtextChar">
    <w:name w:val="Oformaterad text Char"/>
    <w:basedOn w:val="Standardstycketeckensnitt"/>
    <w:link w:val="Oformateradtext"/>
    <w:uiPriority w:val="99"/>
    <w:semiHidden/>
    <w:rsid w:val="00C6554A"/>
    <w:rPr>
      <w:rFonts w:ascii="Consolas" w:hAnsi="Consolas"/>
      <w:szCs w:val="21"/>
    </w:rPr>
  </w:style>
  <w:style w:type="character" w:customStyle="1" w:styleId="Rubrik7Char">
    <w:name w:val="Rubrik 7 Char"/>
    <w:basedOn w:val="Standardstycketeckensnitt"/>
    <w:link w:val="Rubrik7"/>
    <w:uiPriority w:val="9"/>
    <w:semiHidden/>
    <w:rsid w:val="002554CD"/>
    <w:rPr>
      <w:rFonts w:asciiTheme="majorHAnsi" w:eastAsiaTheme="majorEastAsia" w:hAnsiTheme="majorHAnsi" w:cstheme="majorBidi"/>
      <w:i/>
      <w:iCs/>
      <w:color w:val="004F5B" w:themeColor="accent1" w:themeShade="7F"/>
    </w:rPr>
  </w:style>
  <w:style w:type="character" w:customStyle="1" w:styleId="Rubrik6Char">
    <w:name w:val="Rubrik 6 Char"/>
    <w:basedOn w:val="Standardstycketeckensnitt"/>
    <w:link w:val="Rubrik6"/>
    <w:uiPriority w:val="9"/>
    <w:semiHidden/>
    <w:rsid w:val="002554CD"/>
    <w:rPr>
      <w:rFonts w:asciiTheme="majorHAnsi" w:eastAsiaTheme="majorEastAsia" w:hAnsiTheme="majorHAnsi" w:cstheme="majorBidi"/>
      <w:color w:val="004F5B" w:themeColor="accent1" w:themeShade="7F"/>
    </w:rPr>
  </w:style>
  <w:style w:type="paragraph" w:styleId="Liststycke">
    <w:name w:val="List Paragraph"/>
    <w:basedOn w:val="Normal"/>
    <w:uiPriority w:val="34"/>
    <w:unhideWhenUsed/>
    <w:qFormat/>
    <w:rsid w:val="007F7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990lb\AppData\Local\Microsoft\Office\16.0\DTS\sv-SE%7b4F3B9D61-77DE-4229-A8E0-3A09D1E3A45E%7d\%7b5B1BE45D-66FE-4904-8FA5-B1D60F49FF04%7dtf02835058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v-SE" sz="700"/>
              <a:t>Eget kapital 40-talister</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3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 21 Stockholm'!$B$3:$B$27</c:f>
              <c:strCache>
                <c:ptCount val="25"/>
                <c:pt idx="0">
                  <c:v>Lidingö</c:v>
                </c:pt>
                <c:pt idx="1">
                  <c:v>Danderyd</c:v>
                </c:pt>
                <c:pt idx="2">
                  <c:v>Solna</c:v>
                </c:pt>
                <c:pt idx="3">
                  <c:v>Nacka</c:v>
                </c:pt>
                <c:pt idx="4">
                  <c:v>Stockholm</c:v>
                </c:pt>
                <c:pt idx="5">
                  <c:v>Sundbyberg</c:v>
                </c:pt>
                <c:pt idx="6">
                  <c:v>Täby</c:v>
                </c:pt>
                <c:pt idx="7">
                  <c:v>Sollentuna</c:v>
                </c:pt>
                <c:pt idx="8">
                  <c:v>Vaxholm</c:v>
                </c:pt>
                <c:pt idx="9">
                  <c:v>Tyresö</c:v>
                </c:pt>
                <c:pt idx="10">
                  <c:v>Huddinge</c:v>
                </c:pt>
                <c:pt idx="11">
                  <c:v>Järfälla</c:v>
                </c:pt>
                <c:pt idx="12">
                  <c:v>Ekerö</c:v>
                </c:pt>
                <c:pt idx="13">
                  <c:v>Upplands Väsby</c:v>
                </c:pt>
                <c:pt idx="14">
                  <c:v>Vallentuna</c:v>
                </c:pt>
                <c:pt idx="15">
                  <c:v>Salem</c:v>
                </c:pt>
                <c:pt idx="16">
                  <c:v>Värmdö</c:v>
                </c:pt>
                <c:pt idx="17">
                  <c:v>Botkyrka</c:v>
                </c:pt>
                <c:pt idx="18">
                  <c:v>Haninge</c:v>
                </c:pt>
                <c:pt idx="19">
                  <c:v>Österåker</c:v>
                </c:pt>
                <c:pt idx="20">
                  <c:v>Upplands-Bro</c:v>
                </c:pt>
                <c:pt idx="21">
                  <c:v>Södertälje</c:v>
                </c:pt>
                <c:pt idx="22">
                  <c:v>Nynäshamn</c:v>
                </c:pt>
                <c:pt idx="23">
                  <c:v>Nykvarn</c:v>
                </c:pt>
                <c:pt idx="24">
                  <c:v>Norrtälje</c:v>
                </c:pt>
              </c:strCache>
            </c:strRef>
          </c:cat>
          <c:val>
            <c:numRef>
              <c:f>'Figur 21 Stockholm'!$A$3:$A$27</c:f>
              <c:numCache>
                <c:formatCode>#,##0</c:formatCode>
                <c:ptCount val="25"/>
                <c:pt idx="0">
                  <c:v>9489600</c:v>
                </c:pt>
                <c:pt idx="1">
                  <c:v>9106466.666666666</c:v>
                </c:pt>
                <c:pt idx="2">
                  <c:v>7831151.8072289154</c:v>
                </c:pt>
                <c:pt idx="3">
                  <c:v>6634532.3093953226</c:v>
                </c:pt>
                <c:pt idx="4">
                  <c:v>6054818.2564785527</c:v>
                </c:pt>
                <c:pt idx="5">
                  <c:v>5912466.666666666</c:v>
                </c:pt>
                <c:pt idx="6">
                  <c:v>5805533.333333333</c:v>
                </c:pt>
                <c:pt idx="7">
                  <c:v>5728600</c:v>
                </c:pt>
                <c:pt idx="8">
                  <c:v>5021000</c:v>
                </c:pt>
                <c:pt idx="9">
                  <c:v>4413533.333333333</c:v>
                </c:pt>
                <c:pt idx="10">
                  <c:v>4177601.097631427</c:v>
                </c:pt>
                <c:pt idx="11">
                  <c:v>4079573.611111111</c:v>
                </c:pt>
                <c:pt idx="12">
                  <c:v>4055322.5482819164</c:v>
                </c:pt>
                <c:pt idx="13">
                  <c:v>3773829.9242424243</c:v>
                </c:pt>
                <c:pt idx="14">
                  <c:v>3527801.4676827546</c:v>
                </c:pt>
                <c:pt idx="15">
                  <c:v>3524333.333333333</c:v>
                </c:pt>
                <c:pt idx="16">
                  <c:v>3484287.9604178118</c:v>
                </c:pt>
                <c:pt idx="17">
                  <c:v>3435522.0314735333</c:v>
                </c:pt>
                <c:pt idx="18">
                  <c:v>3321926.633986928</c:v>
                </c:pt>
                <c:pt idx="19">
                  <c:v>3231502.5302530257</c:v>
                </c:pt>
                <c:pt idx="20">
                  <c:v>3038824.9568221071</c:v>
                </c:pt>
                <c:pt idx="21">
                  <c:v>2675578.1152647976</c:v>
                </c:pt>
                <c:pt idx="22">
                  <c:v>2496377.9751332151</c:v>
                </c:pt>
                <c:pt idx="23">
                  <c:v>2465823.5598705504</c:v>
                </c:pt>
                <c:pt idx="24">
                  <c:v>2015968.6425607586</c:v>
                </c:pt>
              </c:numCache>
            </c:numRef>
          </c:val>
          <c:extLst>
            <c:ext xmlns:c16="http://schemas.microsoft.com/office/drawing/2014/chart" uri="{C3380CC4-5D6E-409C-BE32-E72D297353CC}">
              <c16:uniqueId val="{00000000-F27E-4C7D-B387-459A09565312}"/>
            </c:ext>
          </c:extLst>
        </c:ser>
        <c:dLbls>
          <c:showLegendKey val="0"/>
          <c:showVal val="0"/>
          <c:showCatName val="0"/>
          <c:showSerName val="0"/>
          <c:showPercent val="0"/>
          <c:showBubbleSize val="0"/>
        </c:dLbls>
        <c:gapWidth val="219"/>
        <c:overlap val="-27"/>
        <c:axId val="1660002768"/>
        <c:axId val="1668366944"/>
      </c:barChart>
      <c:catAx>
        <c:axId val="16600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8366944"/>
        <c:crosses val="autoZero"/>
        <c:auto val="1"/>
        <c:lblAlgn val="ctr"/>
        <c:lblOffset val="100"/>
        <c:noMultiLvlLbl val="0"/>
      </c:catAx>
      <c:valAx>
        <c:axId val="16683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000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v-SE" sz="700"/>
              <a:t>Eget kapital 60-talister</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3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 22 Stockholm'!$B$2:$B$26</c:f>
              <c:strCache>
                <c:ptCount val="25"/>
                <c:pt idx="0">
                  <c:v>Lidingö</c:v>
                </c:pt>
                <c:pt idx="1">
                  <c:v>Danderyd</c:v>
                </c:pt>
                <c:pt idx="2">
                  <c:v>Solna</c:v>
                </c:pt>
                <c:pt idx="3">
                  <c:v>Nacka</c:v>
                </c:pt>
                <c:pt idx="4">
                  <c:v>Stockholm</c:v>
                </c:pt>
                <c:pt idx="5">
                  <c:v>Sundbyberg</c:v>
                </c:pt>
                <c:pt idx="6">
                  <c:v>Sollentuna</c:v>
                </c:pt>
                <c:pt idx="7">
                  <c:v>Täby</c:v>
                </c:pt>
                <c:pt idx="8">
                  <c:v>Vaxholm</c:v>
                </c:pt>
                <c:pt idx="9">
                  <c:v>Huddinge</c:v>
                </c:pt>
                <c:pt idx="10">
                  <c:v>Tyresö</c:v>
                </c:pt>
                <c:pt idx="11">
                  <c:v>Järfälla</c:v>
                </c:pt>
                <c:pt idx="12">
                  <c:v>Ekerö</c:v>
                </c:pt>
                <c:pt idx="13">
                  <c:v>Salem</c:v>
                </c:pt>
                <c:pt idx="14">
                  <c:v>Vallentuna</c:v>
                </c:pt>
                <c:pt idx="15">
                  <c:v>Botkyrka</c:v>
                </c:pt>
                <c:pt idx="16">
                  <c:v>Upplands Väsby</c:v>
                </c:pt>
                <c:pt idx="17">
                  <c:v>Österåker</c:v>
                </c:pt>
                <c:pt idx="18">
                  <c:v>Haninge</c:v>
                </c:pt>
                <c:pt idx="19">
                  <c:v>Upplands-Bro</c:v>
                </c:pt>
                <c:pt idx="20">
                  <c:v>Södertälje</c:v>
                </c:pt>
                <c:pt idx="21">
                  <c:v>Värmdö</c:v>
                </c:pt>
                <c:pt idx="22">
                  <c:v>Nynäshamn</c:v>
                </c:pt>
                <c:pt idx="23">
                  <c:v>Nykvarn</c:v>
                </c:pt>
                <c:pt idx="24">
                  <c:v>Norrtälje</c:v>
                </c:pt>
              </c:strCache>
            </c:strRef>
          </c:cat>
          <c:val>
            <c:numRef>
              <c:f>'Figur 22 Stockholm'!$A$2:$A$26</c:f>
              <c:numCache>
                <c:formatCode>#,##0</c:formatCode>
                <c:ptCount val="25"/>
                <c:pt idx="0">
                  <c:v>7249066.666666666</c:v>
                </c:pt>
                <c:pt idx="1">
                  <c:v>6849800</c:v>
                </c:pt>
                <c:pt idx="2">
                  <c:v>6116897.222222222</c:v>
                </c:pt>
                <c:pt idx="3">
                  <c:v>4630899.0570925288</c:v>
                </c:pt>
                <c:pt idx="4">
                  <c:v>4147341.4011232629</c:v>
                </c:pt>
                <c:pt idx="5">
                  <c:v>4008200</c:v>
                </c:pt>
                <c:pt idx="6">
                  <c:v>3766733.333333333</c:v>
                </c:pt>
                <c:pt idx="7">
                  <c:v>3676400</c:v>
                </c:pt>
                <c:pt idx="8">
                  <c:v>3026533.333333333</c:v>
                </c:pt>
                <c:pt idx="9">
                  <c:v>2440916.8896321072</c:v>
                </c:pt>
                <c:pt idx="10">
                  <c:v>2387133.333333333</c:v>
                </c:pt>
                <c:pt idx="11">
                  <c:v>2271425.9474704741</c:v>
                </c:pt>
                <c:pt idx="12">
                  <c:v>2159620.7247886993</c:v>
                </c:pt>
                <c:pt idx="13">
                  <c:v>1844266.6666666665</c:v>
                </c:pt>
                <c:pt idx="14">
                  <c:v>1774420.2879437297</c:v>
                </c:pt>
                <c:pt idx="15">
                  <c:v>1730235.4036750644</c:v>
                </c:pt>
                <c:pt idx="16">
                  <c:v>1785197.522327859</c:v>
                </c:pt>
                <c:pt idx="17">
                  <c:v>1436370.2944525783</c:v>
                </c:pt>
                <c:pt idx="18">
                  <c:v>1423641.8961501573</c:v>
                </c:pt>
                <c:pt idx="19">
                  <c:v>1418874.3648960739</c:v>
                </c:pt>
                <c:pt idx="20">
                  <c:v>1161405.7701256396</c:v>
                </c:pt>
                <c:pt idx="21">
                  <c:v>1581491.28304009</c:v>
                </c:pt>
                <c:pt idx="22">
                  <c:v>980358.99873257289</c:v>
                </c:pt>
                <c:pt idx="23">
                  <c:v>939177.86235331418</c:v>
                </c:pt>
                <c:pt idx="24">
                  <c:v>621283.31770735653</c:v>
                </c:pt>
              </c:numCache>
            </c:numRef>
          </c:val>
          <c:extLst>
            <c:ext xmlns:c16="http://schemas.microsoft.com/office/drawing/2014/chart" uri="{C3380CC4-5D6E-409C-BE32-E72D297353CC}">
              <c16:uniqueId val="{00000000-67A0-46E4-BBFA-952C88986A67}"/>
            </c:ext>
          </c:extLst>
        </c:ser>
        <c:dLbls>
          <c:showLegendKey val="0"/>
          <c:showVal val="0"/>
          <c:showCatName val="0"/>
          <c:showSerName val="0"/>
          <c:showPercent val="0"/>
          <c:showBubbleSize val="0"/>
        </c:dLbls>
        <c:gapWidth val="219"/>
        <c:overlap val="-27"/>
        <c:axId val="1660002768"/>
        <c:axId val="1668366944"/>
      </c:barChart>
      <c:catAx>
        <c:axId val="16600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8366944"/>
        <c:crosses val="autoZero"/>
        <c:auto val="1"/>
        <c:lblAlgn val="ctr"/>
        <c:lblOffset val="100"/>
        <c:noMultiLvlLbl val="0"/>
      </c:catAx>
      <c:valAx>
        <c:axId val="16683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000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v-SE" sz="700"/>
              <a:t>Eget kapital 80-talister</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3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 23 Stockholm'!$B$2:$B$26</c:f>
              <c:strCache>
                <c:ptCount val="25"/>
                <c:pt idx="0">
                  <c:v>Lidingö</c:v>
                </c:pt>
                <c:pt idx="1">
                  <c:v>Danderyd</c:v>
                </c:pt>
                <c:pt idx="2">
                  <c:v>Solna</c:v>
                </c:pt>
                <c:pt idx="3">
                  <c:v>Nacka</c:v>
                </c:pt>
                <c:pt idx="4">
                  <c:v>Sundbyberg</c:v>
                </c:pt>
                <c:pt idx="5">
                  <c:v>Stockholm</c:v>
                </c:pt>
                <c:pt idx="6">
                  <c:v>Sollentuna</c:v>
                </c:pt>
                <c:pt idx="7">
                  <c:v>Täby</c:v>
                </c:pt>
                <c:pt idx="8">
                  <c:v>Vaxholm</c:v>
                </c:pt>
                <c:pt idx="9">
                  <c:v>Tyresö</c:v>
                </c:pt>
                <c:pt idx="10">
                  <c:v>Ekerö</c:v>
                </c:pt>
                <c:pt idx="11">
                  <c:v>Huddinge</c:v>
                </c:pt>
                <c:pt idx="12">
                  <c:v>Järfälla</c:v>
                </c:pt>
                <c:pt idx="13">
                  <c:v>Salem</c:v>
                </c:pt>
                <c:pt idx="14">
                  <c:v>Upplands Väsby</c:v>
                </c:pt>
                <c:pt idx="15">
                  <c:v>Värmdö</c:v>
                </c:pt>
                <c:pt idx="16">
                  <c:v>Österåker</c:v>
                </c:pt>
                <c:pt idx="17">
                  <c:v>Botkyrka</c:v>
                </c:pt>
                <c:pt idx="18">
                  <c:v>Vallentuna</c:v>
                </c:pt>
                <c:pt idx="19">
                  <c:v>Haninge</c:v>
                </c:pt>
                <c:pt idx="20">
                  <c:v>Upplands-Bro</c:v>
                </c:pt>
                <c:pt idx="21">
                  <c:v>Södertälje</c:v>
                </c:pt>
                <c:pt idx="22">
                  <c:v>Nynäshamn</c:v>
                </c:pt>
                <c:pt idx="23">
                  <c:v>Nykvarn</c:v>
                </c:pt>
                <c:pt idx="24">
                  <c:v>Norrtälje</c:v>
                </c:pt>
              </c:strCache>
            </c:strRef>
          </c:cat>
          <c:val>
            <c:numRef>
              <c:f>'Figur 23 Stockholm'!$A$2:$A$26</c:f>
              <c:numCache>
                <c:formatCode>#,##0</c:formatCode>
                <c:ptCount val="25"/>
                <c:pt idx="0">
                  <c:v>6362933.333333333</c:v>
                </c:pt>
                <c:pt idx="1">
                  <c:v>6141866.666666666</c:v>
                </c:pt>
                <c:pt idx="2">
                  <c:v>4755018.2590233544</c:v>
                </c:pt>
                <c:pt idx="3">
                  <c:v>3794106.470647065</c:v>
                </c:pt>
                <c:pt idx="4">
                  <c:v>3479400</c:v>
                </c:pt>
                <c:pt idx="5">
                  <c:v>3228865.8302535177</c:v>
                </c:pt>
                <c:pt idx="6">
                  <c:v>3042066.6666666665</c:v>
                </c:pt>
                <c:pt idx="7">
                  <c:v>2882800</c:v>
                </c:pt>
                <c:pt idx="8">
                  <c:v>2526200</c:v>
                </c:pt>
                <c:pt idx="9">
                  <c:v>1748266.6666666665</c:v>
                </c:pt>
                <c:pt idx="10">
                  <c:v>1731060.7192254495</c:v>
                </c:pt>
                <c:pt idx="11">
                  <c:v>1632442.2308786246</c:v>
                </c:pt>
                <c:pt idx="12">
                  <c:v>1402712.2943386449</c:v>
                </c:pt>
                <c:pt idx="13">
                  <c:v>1336733.333333333</c:v>
                </c:pt>
                <c:pt idx="14">
                  <c:v>1269172.7959697731</c:v>
                </c:pt>
                <c:pt idx="15">
                  <c:v>1182752.3391812863</c:v>
                </c:pt>
                <c:pt idx="16">
                  <c:v>1147370.3902493571</c:v>
                </c:pt>
                <c:pt idx="17">
                  <c:v>1114810.8073335476</c:v>
                </c:pt>
                <c:pt idx="18">
                  <c:v>1066976.5133171915</c:v>
                </c:pt>
                <c:pt idx="19">
                  <c:v>925360.53915048344</c:v>
                </c:pt>
                <c:pt idx="20">
                  <c:v>839439.90442054952</c:v>
                </c:pt>
                <c:pt idx="21">
                  <c:v>833002.56321440917</c:v>
                </c:pt>
                <c:pt idx="22">
                  <c:v>550737.39837398333</c:v>
                </c:pt>
                <c:pt idx="23">
                  <c:v>340084.69809760107</c:v>
                </c:pt>
                <c:pt idx="24">
                  <c:v>204613.75241582748</c:v>
                </c:pt>
              </c:numCache>
            </c:numRef>
          </c:val>
          <c:extLst>
            <c:ext xmlns:c16="http://schemas.microsoft.com/office/drawing/2014/chart" uri="{C3380CC4-5D6E-409C-BE32-E72D297353CC}">
              <c16:uniqueId val="{00000000-C905-4ABC-978C-7F43FE20974F}"/>
            </c:ext>
          </c:extLst>
        </c:ser>
        <c:dLbls>
          <c:showLegendKey val="0"/>
          <c:showVal val="0"/>
          <c:showCatName val="0"/>
          <c:showSerName val="0"/>
          <c:showPercent val="0"/>
          <c:showBubbleSize val="0"/>
        </c:dLbls>
        <c:gapWidth val="219"/>
        <c:overlap val="-27"/>
        <c:axId val="1660002768"/>
        <c:axId val="1668366944"/>
      </c:barChart>
      <c:catAx>
        <c:axId val="16600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8366944"/>
        <c:crosses val="autoZero"/>
        <c:auto val="1"/>
        <c:lblAlgn val="ctr"/>
        <c:lblOffset val="100"/>
        <c:noMultiLvlLbl val="0"/>
      </c:catAx>
      <c:valAx>
        <c:axId val="16683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000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v-S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v-SE" sz="1000"/>
              <a:t>Eget kapital i småhuset 60-talister Sverige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'Sverige 60-talist'!$B$1:$B$290</c:f>
              <c:strCache>
                <c:ptCount val="290"/>
                <c:pt idx="0">
                  <c:v>Lidingö</c:v>
                </c:pt>
                <c:pt idx="1">
                  <c:v>Danderyd</c:v>
                </c:pt>
                <c:pt idx="2">
                  <c:v>Solna</c:v>
                </c:pt>
                <c:pt idx="3">
                  <c:v>Nacka</c:v>
                </c:pt>
                <c:pt idx="4">
                  <c:v>Stockholm</c:v>
                </c:pt>
                <c:pt idx="5">
                  <c:v>Sundbyberg</c:v>
                </c:pt>
                <c:pt idx="6">
                  <c:v>Sollentuna</c:v>
                </c:pt>
                <c:pt idx="7">
                  <c:v>Täby</c:v>
                </c:pt>
                <c:pt idx="8">
                  <c:v>Göteborg</c:v>
                </c:pt>
                <c:pt idx="9">
                  <c:v>Vaxholm</c:v>
                </c:pt>
                <c:pt idx="10">
                  <c:v>Vellinge</c:v>
                </c:pt>
                <c:pt idx="11">
                  <c:v>Lomma</c:v>
                </c:pt>
                <c:pt idx="12">
                  <c:v>Partille</c:v>
                </c:pt>
                <c:pt idx="13">
                  <c:v>Mölndal</c:v>
                </c:pt>
                <c:pt idx="14">
                  <c:v>Huddinge</c:v>
                </c:pt>
                <c:pt idx="15">
                  <c:v>Tyresö</c:v>
                </c:pt>
                <c:pt idx="16">
                  <c:v>Järfälla</c:v>
                </c:pt>
                <c:pt idx="17">
                  <c:v>Öckerö</c:v>
                </c:pt>
                <c:pt idx="18">
                  <c:v>Ekerö</c:v>
                </c:pt>
                <c:pt idx="19">
                  <c:v>Malmö</c:v>
                </c:pt>
                <c:pt idx="20">
                  <c:v>Kungsbacka</c:v>
                </c:pt>
                <c:pt idx="21">
                  <c:v>Härryda</c:v>
                </c:pt>
                <c:pt idx="22">
                  <c:v>Salem</c:v>
                </c:pt>
                <c:pt idx="23">
                  <c:v>Båstad</c:v>
                </c:pt>
                <c:pt idx="24">
                  <c:v>Lund</c:v>
                </c:pt>
                <c:pt idx="25">
                  <c:v>Upplands Väsby</c:v>
                </c:pt>
                <c:pt idx="26">
                  <c:v>Vallentuna</c:v>
                </c:pt>
                <c:pt idx="27">
                  <c:v>Botkyrka</c:v>
                </c:pt>
                <c:pt idx="28">
                  <c:v>Uppsala</c:v>
                </c:pt>
                <c:pt idx="29">
                  <c:v>Kungälv</c:v>
                </c:pt>
                <c:pt idx="30">
                  <c:v>Sotenäs</c:v>
                </c:pt>
                <c:pt idx="31">
                  <c:v>Knivsta</c:v>
                </c:pt>
                <c:pt idx="32">
                  <c:v>Jönköping</c:v>
                </c:pt>
                <c:pt idx="33">
                  <c:v>Värmdö</c:v>
                </c:pt>
                <c:pt idx="34">
                  <c:v>Linköping</c:v>
                </c:pt>
                <c:pt idx="35">
                  <c:v>Lerum</c:v>
                </c:pt>
                <c:pt idx="36">
                  <c:v>Varberg</c:v>
                </c:pt>
                <c:pt idx="37">
                  <c:v>Umeå</c:v>
                </c:pt>
                <c:pt idx="38">
                  <c:v>Österåker</c:v>
                </c:pt>
                <c:pt idx="39">
                  <c:v>Haninge</c:v>
                </c:pt>
                <c:pt idx="40">
                  <c:v>Upplands-Bro</c:v>
                </c:pt>
                <c:pt idx="41">
                  <c:v>Staffanstorp</c:v>
                </c:pt>
                <c:pt idx="42">
                  <c:v>Burlöv</c:v>
                </c:pt>
                <c:pt idx="43">
                  <c:v>Helsingborg</c:v>
                </c:pt>
                <c:pt idx="44">
                  <c:v>Tanum</c:v>
                </c:pt>
                <c:pt idx="45">
                  <c:v>Strömstad</c:v>
                </c:pt>
                <c:pt idx="46">
                  <c:v>Sigtuna</c:v>
                </c:pt>
                <c:pt idx="47">
                  <c:v>Gotland</c:v>
                </c:pt>
                <c:pt idx="48">
                  <c:v>Västerås</c:v>
                </c:pt>
                <c:pt idx="49">
                  <c:v>Alingsås</c:v>
                </c:pt>
                <c:pt idx="50">
                  <c:v>Södertälje</c:v>
                </c:pt>
                <c:pt idx="51">
                  <c:v>Hammarö</c:v>
                </c:pt>
                <c:pt idx="52">
                  <c:v>Halmstad</c:v>
                </c:pt>
                <c:pt idx="53">
                  <c:v>Ale</c:v>
                </c:pt>
                <c:pt idx="54">
                  <c:v>Stenungsund</c:v>
                </c:pt>
                <c:pt idx="55">
                  <c:v>Norrköping</c:v>
                </c:pt>
                <c:pt idx="56">
                  <c:v>Kävlinge</c:v>
                </c:pt>
                <c:pt idx="57">
                  <c:v>Växjö</c:v>
                </c:pt>
                <c:pt idx="58">
                  <c:v>Trosa</c:v>
                </c:pt>
                <c:pt idx="59">
                  <c:v>Ystad</c:v>
                </c:pt>
                <c:pt idx="60">
                  <c:v>Trollhättan</c:v>
                </c:pt>
                <c:pt idx="61">
                  <c:v>Ängelholm</c:v>
                </c:pt>
                <c:pt idx="62">
                  <c:v>Örebro</c:v>
                </c:pt>
                <c:pt idx="63">
                  <c:v>Uddevalla</c:v>
                </c:pt>
                <c:pt idx="64">
                  <c:v>Falun</c:v>
                </c:pt>
                <c:pt idx="65">
                  <c:v>Simrishamn</c:v>
                </c:pt>
                <c:pt idx="66">
                  <c:v>Borås</c:v>
                </c:pt>
                <c:pt idx="67">
                  <c:v>Nynäshamn</c:v>
                </c:pt>
                <c:pt idx="68">
                  <c:v>Gävle</c:v>
                </c:pt>
                <c:pt idx="69">
                  <c:v>Nykvarn</c:v>
                </c:pt>
                <c:pt idx="70">
                  <c:v>Bollebygd</c:v>
                </c:pt>
                <c:pt idx="71">
                  <c:v>Tjörn</c:v>
                </c:pt>
                <c:pt idx="72">
                  <c:v>Falkenberg</c:v>
                </c:pt>
                <c:pt idx="73">
                  <c:v>Höganäs</c:v>
                </c:pt>
                <c:pt idx="74">
                  <c:v>Habo</c:v>
                </c:pt>
                <c:pt idx="75">
                  <c:v>Orust</c:v>
                </c:pt>
                <c:pt idx="76">
                  <c:v>Enköping</c:v>
                </c:pt>
                <c:pt idx="77">
                  <c:v>Nyköping</c:v>
                </c:pt>
                <c:pt idx="78">
                  <c:v>Luleå</c:v>
                </c:pt>
                <c:pt idx="79">
                  <c:v>Skövde</c:v>
                </c:pt>
                <c:pt idx="80">
                  <c:v>Strängnäs</c:v>
                </c:pt>
                <c:pt idx="81">
                  <c:v>Eskilstuna</c:v>
                </c:pt>
                <c:pt idx="82">
                  <c:v>Håbo</c:v>
                </c:pt>
                <c:pt idx="83">
                  <c:v>Lidköping</c:v>
                </c:pt>
                <c:pt idx="84">
                  <c:v>Kalmar</c:v>
                </c:pt>
                <c:pt idx="85">
                  <c:v>Östersund</c:v>
                </c:pt>
                <c:pt idx="86">
                  <c:v>Svedala</c:v>
                </c:pt>
                <c:pt idx="87">
                  <c:v>Åre</c:v>
                </c:pt>
                <c:pt idx="88">
                  <c:v>Söderköping</c:v>
                </c:pt>
                <c:pt idx="89">
                  <c:v>Sala</c:v>
                </c:pt>
                <c:pt idx="90">
                  <c:v>Karlstad</c:v>
                </c:pt>
                <c:pt idx="91">
                  <c:v>Borlänge</c:v>
                </c:pt>
                <c:pt idx="92">
                  <c:v>Värnamo</c:v>
                </c:pt>
                <c:pt idx="93">
                  <c:v>Kiruna</c:v>
                </c:pt>
                <c:pt idx="94">
                  <c:v>Sundsvall</c:v>
                </c:pt>
                <c:pt idx="95">
                  <c:v>Älmhult</c:v>
                </c:pt>
                <c:pt idx="96">
                  <c:v>Köping</c:v>
                </c:pt>
                <c:pt idx="97">
                  <c:v>Leksand</c:v>
                </c:pt>
                <c:pt idx="98">
                  <c:v>Trelleborg</c:v>
                </c:pt>
                <c:pt idx="99">
                  <c:v>Norrtälje</c:v>
                </c:pt>
                <c:pt idx="100">
                  <c:v>Mjölby</c:v>
                </c:pt>
                <c:pt idx="101">
                  <c:v>Karlskrona</c:v>
                </c:pt>
                <c:pt idx="102">
                  <c:v>Landskrona</c:v>
                </c:pt>
                <c:pt idx="103">
                  <c:v>Rättvik</c:v>
                </c:pt>
                <c:pt idx="104">
                  <c:v>Vadstena</c:v>
                </c:pt>
                <c:pt idx="105">
                  <c:v>Skellefteå</c:v>
                </c:pt>
                <c:pt idx="106">
                  <c:v>Motala</c:v>
                </c:pt>
                <c:pt idx="107">
                  <c:v>Eslöv</c:v>
                </c:pt>
                <c:pt idx="108">
                  <c:v>Vänersborg</c:v>
                </c:pt>
                <c:pt idx="109">
                  <c:v>Ulricehamn</c:v>
                </c:pt>
                <c:pt idx="110">
                  <c:v>Östhammar</c:v>
                </c:pt>
                <c:pt idx="111">
                  <c:v>Kumla</c:v>
                </c:pt>
                <c:pt idx="112">
                  <c:v>Gnesta</c:v>
                </c:pt>
                <c:pt idx="113">
                  <c:v>Kinda</c:v>
                </c:pt>
                <c:pt idx="114">
                  <c:v>Oskarshamn</c:v>
                </c:pt>
                <c:pt idx="115">
                  <c:v>Katrineholm</c:v>
                </c:pt>
                <c:pt idx="116">
                  <c:v>Hallstahammar</c:v>
                </c:pt>
                <c:pt idx="117">
                  <c:v>Gällivare</c:v>
                </c:pt>
                <c:pt idx="118">
                  <c:v>Mark</c:v>
                </c:pt>
                <c:pt idx="119">
                  <c:v>Tranås</c:v>
                </c:pt>
                <c:pt idx="120">
                  <c:v>Oxelösund</c:v>
                </c:pt>
                <c:pt idx="121">
                  <c:v>Vårgårda</c:v>
                </c:pt>
                <c:pt idx="122">
                  <c:v>Åtvidaberg</c:v>
                </c:pt>
                <c:pt idx="123">
                  <c:v>Laholm</c:v>
                </c:pt>
                <c:pt idx="124">
                  <c:v>Mora</c:v>
                </c:pt>
                <c:pt idx="125">
                  <c:v>Vännäs</c:v>
                </c:pt>
                <c:pt idx="126">
                  <c:v>Mariestad</c:v>
                </c:pt>
                <c:pt idx="127">
                  <c:v>Vaggeryd</c:v>
                </c:pt>
                <c:pt idx="128">
                  <c:v>Lilla Edet</c:v>
                </c:pt>
                <c:pt idx="129">
                  <c:v>Falköping</c:v>
                </c:pt>
                <c:pt idx="130">
                  <c:v>Lysekil</c:v>
                </c:pt>
                <c:pt idx="131">
                  <c:v>Götene</c:v>
                </c:pt>
                <c:pt idx="132">
                  <c:v>Kristianstad</c:v>
                </c:pt>
                <c:pt idx="133">
                  <c:v>Finspång</c:v>
                </c:pt>
                <c:pt idx="134">
                  <c:v>Kil</c:v>
                </c:pt>
                <c:pt idx="135">
                  <c:v>Munkedal</c:v>
                </c:pt>
                <c:pt idx="136">
                  <c:v>Alvesta</c:v>
                </c:pt>
                <c:pt idx="137">
                  <c:v>Säter</c:v>
                </c:pt>
                <c:pt idx="138">
                  <c:v>Eksjö</c:v>
                </c:pt>
                <c:pt idx="139">
                  <c:v>Skurup</c:v>
                </c:pt>
                <c:pt idx="140">
                  <c:v>Krokom</c:v>
                </c:pt>
                <c:pt idx="141">
                  <c:v>Arvika</c:v>
                </c:pt>
                <c:pt idx="142">
                  <c:v>Skara</c:v>
                </c:pt>
                <c:pt idx="143">
                  <c:v>Mullsjö</c:v>
                </c:pt>
                <c:pt idx="144">
                  <c:v>Mörbylånga</c:v>
                </c:pt>
                <c:pt idx="145">
                  <c:v>Arboga</c:v>
                </c:pt>
                <c:pt idx="146">
                  <c:v>Tidaholm</c:v>
                </c:pt>
                <c:pt idx="147">
                  <c:v>Borgholm</c:v>
                </c:pt>
                <c:pt idx="148">
                  <c:v>Tibro</c:v>
                </c:pt>
                <c:pt idx="149">
                  <c:v>Kungsör</c:v>
                </c:pt>
                <c:pt idx="150">
                  <c:v>Malung-Sälen</c:v>
                </c:pt>
                <c:pt idx="151">
                  <c:v>Vetlanda</c:v>
                </c:pt>
                <c:pt idx="152">
                  <c:v>Örnsköldsvik</c:v>
                </c:pt>
                <c:pt idx="153">
                  <c:v>Piteå</c:v>
                </c:pt>
                <c:pt idx="154">
                  <c:v>Karlshamn</c:v>
                </c:pt>
                <c:pt idx="155">
                  <c:v>Sävsjö</c:v>
                </c:pt>
                <c:pt idx="156">
                  <c:v>Karlskoga</c:v>
                </c:pt>
                <c:pt idx="157">
                  <c:v>Nässjö</c:v>
                </c:pt>
                <c:pt idx="158">
                  <c:v>Årjäng</c:v>
                </c:pt>
                <c:pt idx="159">
                  <c:v>Sunne</c:v>
                </c:pt>
                <c:pt idx="160">
                  <c:v>Tranemo</c:v>
                </c:pt>
                <c:pt idx="161">
                  <c:v>Boxholm</c:v>
                </c:pt>
                <c:pt idx="162">
                  <c:v>Älvkarleby</c:v>
                </c:pt>
                <c:pt idx="163">
                  <c:v>Arvidsjaur</c:v>
                </c:pt>
                <c:pt idx="164">
                  <c:v>Ljungby</c:v>
                </c:pt>
                <c:pt idx="165">
                  <c:v>Arjeplog</c:v>
                </c:pt>
                <c:pt idx="166">
                  <c:v>Gagnef</c:v>
                </c:pt>
                <c:pt idx="167">
                  <c:v>Vindeln</c:v>
                </c:pt>
                <c:pt idx="168">
                  <c:v>Lekeberg</c:v>
                </c:pt>
                <c:pt idx="169">
                  <c:v>Nora</c:v>
                </c:pt>
                <c:pt idx="170">
                  <c:v>Hallsberg</c:v>
                </c:pt>
                <c:pt idx="171">
                  <c:v>Grästorp</c:v>
                </c:pt>
                <c:pt idx="172">
                  <c:v>Essunga</c:v>
                </c:pt>
                <c:pt idx="173">
                  <c:v>Hudiksvall</c:v>
                </c:pt>
                <c:pt idx="174">
                  <c:v>Åstorp</c:v>
                </c:pt>
                <c:pt idx="175">
                  <c:v>Hässleholm</c:v>
                </c:pt>
                <c:pt idx="176">
                  <c:v>Karlsborg</c:v>
                </c:pt>
                <c:pt idx="177">
                  <c:v>Hjo</c:v>
                </c:pt>
                <c:pt idx="178">
                  <c:v>Tierp</c:v>
                </c:pt>
                <c:pt idx="179">
                  <c:v>Västervik</c:v>
                </c:pt>
                <c:pt idx="180">
                  <c:v>Avesta</c:v>
                </c:pt>
                <c:pt idx="181">
                  <c:v>Vingåker</c:v>
                </c:pt>
                <c:pt idx="182">
                  <c:v>Herrljunga</c:v>
                </c:pt>
                <c:pt idx="183">
                  <c:v>Höör</c:v>
                </c:pt>
                <c:pt idx="184">
                  <c:v>Kristinehamn</c:v>
                </c:pt>
                <c:pt idx="185">
                  <c:v>Timrå</c:v>
                </c:pt>
                <c:pt idx="186">
                  <c:v>Färgelanda</c:v>
                </c:pt>
                <c:pt idx="187">
                  <c:v>Heby</c:v>
                </c:pt>
                <c:pt idx="188">
                  <c:v>Surahammar</c:v>
                </c:pt>
                <c:pt idx="189">
                  <c:v>Ludvika</c:v>
                </c:pt>
                <c:pt idx="190">
                  <c:v>Dals-Ed</c:v>
                </c:pt>
                <c:pt idx="191">
                  <c:v>Lycksele</c:v>
                </c:pt>
                <c:pt idx="192">
                  <c:v>Härnösand</c:v>
                </c:pt>
                <c:pt idx="193">
                  <c:v>Ljusdal</c:v>
                </c:pt>
                <c:pt idx="194">
                  <c:v>Hedemora</c:v>
                </c:pt>
                <c:pt idx="195">
                  <c:v>Nybro</c:v>
                </c:pt>
                <c:pt idx="196">
                  <c:v>Osby</c:v>
                </c:pt>
                <c:pt idx="197">
                  <c:v>Vansbro</c:v>
                </c:pt>
                <c:pt idx="198">
                  <c:v>Sandviken</c:v>
                </c:pt>
                <c:pt idx="199">
                  <c:v>Töreboda</c:v>
                </c:pt>
                <c:pt idx="200">
                  <c:v>Tomelilla</c:v>
                </c:pt>
                <c:pt idx="201">
                  <c:v>Ödeshög</c:v>
                </c:pt>
                <c:pt idx="202">
                  <c:v>Askersund</c:v>
                </c:pt>
                <c:pt idx="203">
                  <c:v>Sorsele</c:v>
                </c:pt>
                <c:pt idx="204">
                  <c:v>Robertsfors</c:v>
                </c:pt>
                <c:pt idx="205">
                  <c:v>Svalöv</c:v>
                </c:pt>
                <c:pt idx="206">
                  <c:v>Älvdalen</c:v>
                </c:pt>
                <c:pt idx="207">
                  <c:v>Klippan</c:v>
                </c:pt>
                <c:pt idx="208">
                  <c:v>Åmål</c:v>
                </c:pt>
                <c:pt idx="209">
                  <c:v>Svenljunga</c:v>
                </c:pt>
                <c:pt idx="210">
                  <c:v>Flen</c:v>
                </c:pt>
                <c:pt idx="211">
                  <c:v>Smedjebacken</c:v>
                </c:pt>
                <c:pt idx="212">
                  <c:v>Orsa</c:v>
                </c:pt>
                <c:pt idx="213">
                  <c:v>Vimmerby</c:v>
                </c:pt>
                <c:pt idx="214">
                  <c:v>Vara</c:v>
                </c:pt>
                <c:pt idx="215">
                  <c:v>Laxå</c:v>
                </c:pt>
                <c:pt idx="216">
                  <c:v>Olofström</c:v>
                </c:pt>
                <c:pt idx="217">
                  <c:v>Valdemarsvik</c:v>
                </c:pt>
                <c:pt idx="218">
                  <c:v>Lindesberg</c:v>
                </c:pt>
                <c:pt idx="219">
                  <c:v>Mönsterås</c:v>
                </c:pt>
                <c:pt idx="220">
                  <c:v>Ydre</c:v>
                </c:pt>
                <c:pt idx="221">
                  <c:v>Sölvesborg</c:v>
                </c:pt>
                <c:pt idx="222">
                  <c:v>Hörby</c:v>
                </c:pt>
                <c:pt idx="223">
                  <c:v>Boden</c:v>
                </c:pt>
                <c:pt idx="224">
                  <c:v>Gislaved</c:v>
                </c:pt>
                <c:pt idx="225">
                  <c:v>Lessebo</c:v>
                </c:pt>
                <c:pt idx="226">
                  <c:v>Torsås</c:v>
                </c:pt>
                <c:pt idx="227">
                  <c:v>Gullspång</c:v>
                </c:pt>
                <c:pt idx="228">
                  <c:v>Nordmaling</c:v>
                </c:pt>
                <c:pt idx="229">
                  <c:v>Härjedalen</c:v>
                </c:pt>
                <c:pt idx="230">
                  <c:v>Forshaga</c:v>
                </c:pt>
                <c:pt idx="231">
                  <c:v>Ovanåker</c:v>
                </c:pt>
                <c:pt idx="232">
                  <c:v>Gnosjö</c:v>
                </c:pt>
                <c:pt idx="233">
                  <c:v>Hultsfred</c:v>
                </c:pt>
                <c:pt idx="234">
                  <c:v>Östra Göinge</c:v>
                </c:pt>
                <c:pt idx="235">
                  <c:v>Kalix</c:v>
                </c:pt>
                <c:pt idx="236">
                  <c:v>Bollnäs</c:v>
                </c:pt>
                <c:pt idx="237">
                  <c:v>Tingsryd</c:v>
                </c:pt>
                <c:pt idx="238">
                  <c:v>Fagersta</c:v>
                </c:pt>
                <c:pt idx="239">
                  <c:v>Storuman</c:v>
                </c:pt>
                <c:pt idx="240">
                  <c:v>Älvsbyn</c:v>
                </c:pt>
                <c:pt idx="241">
                  <c:v>Dorotea</c:v>
                </c:pt>
                <c:pt idx="242">
                  <c:v>Hylte</c:v>
                </c:pt>
                <c:pt idx="243">
                  <c:v>Torsby</c:v>
                </c:pt>
                <c:pt idx="244">
                  <c:v>Söderhamn</c:v>
                </c:pt>
                <c:pt idx="245">
                  <c:v>Markaryd</c:v>
                </c:pt>
                <c:pt idx="246">
                  <c:v>Norsjö</c:v>
                </c:pt>
                <c:pt idx="247">
                  <c:v>Örkelljunga</c:v>
                </c:pt>
                <c:pt idx="248">
                  <c:v>Malå</c:v>
                </c:pt>
                <c:pt idx="249">
                  <c:v>Ronneby</c:v>
                </c:pt>
                <c:pt idx="250">
                  <c:v>Aneby</c:v>
                </c:pt>
                <c:pt idx="251">
                  <c:v>Jokkmokk</c:v>
                </c:pt>
                <c:pt idx="252">
                  <c:v>Pajala</c:v>
                </c:pt>
                <c:pt idx="253">
                  <c:v>Sjöbo</c:v>
                </c:pt>
                <c:pt idx="254">
                  <c:v>Sollefteå</c:v>
                </c:pt>
                <c:pt idx="255">
                  <c:v>Norberg</c:v>
                </c:pt>
                <c:pt idx="256">
                  <c:v>Bjuv</c:v>
                </c:pt>
                <c:pt idx="257">
                  <c:v>Grums</c:v>
                </c:pt>
                <c:pt idx="258">
                  <c:v>Åsele</c:v>
                </c:pt>
                <c:pt idx="259">
                  <c:v>Eda</c:v>
                </c:pt>
                <c:pt idx="260">
                  <c:v>Perstorp</c:v>
                </c:pt>
                <c:pt idx="261">
                  <c:v>Mellerud</c:v>
                </c:pt>
                <c:pt idx="262">
                  <c:v>Ockelbo</c:v>
                </c:pt>
                <c:pt idx="263">
                  <c:v>Uppvidinge</c:v>
                </c:pt>
                <c:pt idx="264">
                  <c:v>Säffle</c:v>
                </c:pt>
                <c:pt idx="265">
                  <c:v>Nordanstig</c:v>
                </c:pt>
                <c:pt idx="266">
                  <c:v>Vilhelmina</c:v>
                </c:pt>
                <c:pt idx="267">
                  <c:v>Ragunda</c:v>
                </c:pt>
                <c:pt idx="268">
                  <c:v>Kramfors</c:v>
                </c:pt>
                <c:pt idx="269">
                  <c:v>Emmaboda</c:v>
                </c:pt>
                <c:pt idx="270">
                  <c:v>Bengtsfors</c:v>
                </c:pt>
                <c:pt idx="271">
                  <c:v>Ljusnarsberg</c:v>
                </c:pt>
                <c:pt idx="272">
                  <c:v>Övertorneå</c:v>
                </c:pt>
                <c:pt idx="273">
                  <c:v>Berg</c:v>
                </c:pt>
                <c:pt idx="274">
                  <c:v>Haparanda</c:v>
                </c:pt>
                <c:pt idx="275">
                  <c:v>Hagfors</c:v>
                </c:pt>
                <c:pt idx="276">
                  <c:v>Degerfors</c:v>
                </c:pt>
                <c:pt idx="277">
                  <c:v>Strömsund</c:v>
                </c:pt>
                <c:pt idx="278">
                  <c:v>Bjurholm</c:v>
                </c:pt>
                <c:pt idx="279">
                  <c:v>Hofors</c:v>
                </c:pt>
                <c:pt idx="280">
                  <c:v>Filipstad</c:v>
                </c:pt>
                <c:pt idx="281">
                  <c:v>Ånge</c:v>
                </c:pt>
                <c:pt idx="282">
                  <c:v>Storfors</c:v>
                </c:pt>
                <c:pt idx="283">
                  <c:v>Överkalix</c:v>
                </c:pt>
                <c:pt idx="284">
                  <c:v>Munkfors</c:v>
                </c:pt>
                <c:pt idx="285">
                  <c:v>Bräcke</c:v>
                </c:pt>
                <c:pt idx="286">
                  <c:v>Hällefors</c:v>
                </c:pt>
                <c:pt idx="287">
                  <c:v>Högsby</c:v>
                </c:pt>
                <c:pt idx="288">
                  <c:v>Bromölla</c:v>
                </c:pt>
                <c:pt idx="289">
                  <c:v>Skinnskatteberg</c:v>
                </c:pt>
              </c:strCache>
            </c:strRef>
          </c:cat>
          <c:val>
            <c:numRef>
              <c:f>'Sverige 60-talist'!$A$1:$A$290</c:f>
              <c:numCache>
                <c:formatCode>#,##0</c:formatCode>
                <c:ptCount val="290"/>
                <c:pt idx="0">
                  <c:v>7249066.666666666</c:v>
                </c:pt>
                <c:pt idx="1">
                  <c:v>6849800</c:v>
                </c:pt>
                <c:pt idx="2">
                  <c:v>6116897.222222222</c:v>
                </c:pt>
                <c:pt idx="3">
                  <c:v>4630899.0570925288</c:v>
                </c:pt>
                <c:pt idx="4">
                  <c:v>4147341.4011232629</c:v>
                </c:pt>
                <c:pt idx="5">
                  <c:v>4008200</c:v>
                </c:pt>
                <c:pt idx="6">
                  <c:v>3766733.333333333</c:v>
                </c:pt>
                <c:pt idx="7">
                  <c:v>3676400</c:v>
                </c:pt>
                <c:pt idx="8">
                  <c:v>3039903.7063966068</c:v>
                </c:pt>
                <c:pt idx="9">
                  <c:v>3026533.333333333</c:v>
                </c:pt>
                <c:pt idx="10">
                  <c:v>2857856.8968372243</c:v>
                </c:pt>
                <c:pt idx="11">
                  <c:v>2756112.699149265</c:v>
                </c:pt>
                <c:pt idx="12">
                  <c:v>2668503.747101184</c:v>
                </c:pt>
                <c:pt idx="13">
                  <c:v>2620449.4412159137</c:v>
                </c:pt>
                <c:pt idx="14">
                  <c:v>2440916.8896321072</c:v>
                </c:pt>
                <c:pt idx="15">
                  <c:v>2387133.333333333</c:v>
                </c:pt>
                <c:pt idx="16">
                  <c:v>2271425.9474704741</c:v>
                </c:pt>
                <c:pt idx="17">
                  <c:v>2169533.333333333</c:v>
                </c:pt>
                <c:pt idx="18">
                  <c:v>2159620.7247886993</c:v>
                </c:pt>
                <c:pt idx="19">
                  <c:v>1934929.9769807677</c:v>
                </c:pt>
                <c:pt idx="20">
                  <c:v>1909577.5372775374</c:v>
                </c:pt>
                <c:pt idx="21">
                  <c:v>1847247.795563044</c:v>
                </c:pt>
                <c:pt idx="22">
                  <c:v>1844266.6666666665</c:v>
                </c:pt>
                <c:pt idx="23">
                  <c:v>1811744.2909760587</c:v>
                </c:pt>
                <c:pt idx="24">
                  <c:v>1806402.9764065333</c:v>
                </c:pt>
                <c:pt idx="25">
                  <c:v>1785197.522327859</c:v>
                </c:pt>
                <c:pt idx="26">
                  <c:v>1774420.2879437297</c:v>
                </c:pt>
                <c:pt idx="27">
                  <c:v>1730235.4036750644</c:v>
                </c:pt>
                <c:pt idx="28">
                  <c:v>1669895.1516401893</c:v>
                </c:pt>
                <c:pt idx="29">
                  <c:v>1658891.9957310567</c:v>
                </c:pt>
                <c:pt idx="30">
                  <c:v>1657078.6912065439</c:v>
                </c:pt>
                <c:pt idx="31">
                  <c:v>1651692.2852983987</c:v>
                </c:pt>
                <c:pt idx="32">
                  <c:v>1633421.7688688568</c:v>
                </c:pt>
                <c:pt idx="33">
                  <c:v>1581491.28304009</c:v>
                </c:pt>
                <c:pt idx="34">
                  <c:v>1566430.5244357851</c:v>
                </c:pt>
                <c:pt idx="35">
                  <c:v>1510273.7409466063</c:v>
                </c:pt>
                <c:pt idx="36">
                  <c:v>1458432.1911129684</c:v>
                </c:pt>
                <c:pt idx="37">
                  <c:v>1449787.9854311526</c:v>
                </c:pt>
                <c:pt idx="38">
                  <c:v>1436370.2944525783</c:v>
                </c:pt>
                <c:pt idx="39">
                  <c:v>1423641.8961501573</c:v>
                </c:pt>
                <c:pt idx="40">
                  <c:v>1418874.3648960739</c:v>
                </c:pt>
                <c:pt idx="41">
                  <c:v>1412116.0821484993</c:v>
                </c:pt>
                <c:pt idx="42">
                  <c:v>1389866.6666666665</c:v>
                </c:pt>
                <c:pt idx="43">
                  <c:v>1381895.0417987891</c:v>
                </c:pt>
                <c:pt idx="44">
                  <c:v>1369510.8943089431</c:v>
                </c:pt>
                <c:pt idx="45">
                  <c:v>1328928.5298398836</c:v>
                </c:pt>
                <c:pt idx="46">
                  <c:v>1303873.2290474372</c:v>
                </c:pt>
                <c:pt idx="47">
                  <c:v>1275220.1305538008</c:v>
                </c:pt>
                <c:pt idx="48">
                  <c:v>1273448.0127821048</c:v>
                </c:pt>
                <c:pt idx="49">
                  <c:v>1202911.4979277679</c:v>
                </c:pt>
                <c:pt idx="50">
                  <c:v>1161405.7701256396</c:v>
                </c:pt>
                <c:pt idx="51">
                  <c:v>1143866.6666666665</c:v>
                </c:pt>
                <c:pt idx="52">
                  <c:v>1139713.4450428884</c:v>
                </c:pt>
                <c:pt idx="53">
                  <c:v>1120275.6002233392</c:v>
                </c:pt>
                <c:pt idx="54">
                  <c:v>1119023.1370934541</c:v>
                </c:pt>
                <c:pt idx="55">
                  <c:v>1115381.5918385689</c:v>
                </c:pt>
                <c:pt idx="56">
                  <c:v>1112158.7006960558</c:v>
                </c:pt>
                <c:pt idx="57">
                  <c:v>1085815.6534671872</c:v>
                </c:pt>
                <c:pt idx="58">
                  <c:v>1079581.7083692835</c:v>
                </c:pt>
                <c:pt idx="59">
                  <c:v>1039727.7333333334</c:v>
                </c:pt>
                <c:pt idx="60">
                  <c:v>1024213.7758743754</c:v>
                </c:pt>
                <c:pt idx="61">
                  <c:v>1019066.8651384339</c:v>
                </c:pt>
                <c:pt idx="62">
                  <c:v>1018558.7949465499</c:v>
                </c:pt>
                <c:pt idx="63">
                  <c:v>1017873.8480587248</c:v>
                </c:pt>
                <c:pt idx="64">
                  <c:v>1017069.4333724109</c:v>
                </c:pt>
                <c:pt idx="65">
                  <c:v>1015024.2798353909</c:v>
                </c:pt>
                <c:pt idx="66">
                  <c:v>1006951.1743910115</c:v>
                </c:pt>
                <c:pt idx="67">
                  <c:v>980358.99873257289</c:v>
                </c:pt>
                <c:pt idx="68">
                  <c:v>968686.54244306427</c:v>
                </c:pt>
                <c:pt idx="69">
                  <c:v>939177.86235331418</c:v>
                </c:pt>
                <c:pt idx="70">
                  <c:v>937406.6743383198</c:v>
                </c:pt>
                <c:pt idx="71">
                  <c:v>930432.13264722703</c:v>
                </c:pt>
                <c:pt idx="72">
                  <c:v>920994.00708253891</c:v>
                </c:pt>
                <c:pt idx="73">
                  <c:v>917073.17073170748</c:v>
                </c:pt>
                <c:pt idx="74">
                  <c:v>896043.16069057095</c:v>
                </c:pt>
                <c:pt idx="75">
                  <c:v>879820.08368200832</c:v>
                </c:pt>
                <c:pt idx="76">
                  <c:v>870815.83079338679</c:v>
                </c:pt>
                <c:pt idx="77">
                  <c:v>870739.22316798754</c:v>
                </c:pt>
                <c:pt idx="78">
                  <c:v>867214.31818181812</c:v>
                </c:pt>
                <c:pt idx="79">
                  <c:v>849772.18554257648</c:v>
                </c:pt>
                <c:pt idx="80">
                  <c:v>849545.60400285944</c:v>
                </c:pt>
                <c:pt idx="81">
                  <c:v>844144.57107217773</c:v>
                </c:pt>
                <c:pt idx="82">
                  <c:v>844035.42551517999</c:v>
                </c:pt>
                <c:pt idx="83">
                  <c:v>836780.3909652587</c:v>
                </c:pt>
                <c:pt idx="84">
                  <c:v>835683.2440331222</c:v>
                </c:pt>
                <c:pt idx="85">
                  <c:v>826202.02931228839</c:v>
                </c:pt>
                <c:pt idx="86">
                  <c:v>806319.45873832703</c:v>
                </c:pt>
                <c:pt idx="87">
                  <c:v>778779.23920051567</c:v>
                </c:pt>
                <c:pt idx="88">
                  <c:v>769683.11949685542</c:v>
                </c:pt>
                <c:pt idx="89">
                  <c:v>762796.62075298443</c:v>
                </c:pt>
                <c:pt idx="90">
                  <c:v>738214.29009506293</c:v>
                </c:pt>
                <c:pt idx="91">
                  <c:v>728526.40273426357</c:v>
                </c:pt>
                <c:pt idx="92">
                  <c:v>682700.6944444445</c:v>
                </c:pt>
                <c:pt idx="93">
                  <c:v>681602.29348882427</c:v>
                </c:pt>
                <c:pt idx="94">
                  <c:v>675361.54761904757</c:v>
                </c:pt>
                <c:pt idx="95">
                  <c:v>673831.34890730958</c:v>
                </c:pt>
                <c:pt idx="96">
                  <c:v>669739.16712529794</c:v>
                </c:pt>
                <c:pt idx="97">
                  <c:v>643804.6407853635</c:v>
                </c:pt>
                <c:pt idx="98">
                  <c:v>641911.91951854853</c:v>
                </c:pt>
                <c:pt idx="99">
                  <c:v>621283.31770735653</c:v>
                </c:pt>
                <c:pt idx="100">
                  <c:v>606291.49961149949</c:v>
                </c:pt>
                <c:pt idx="101">
                  <c:v>605752.99481865298</c:v>
                </c:pt>
                <c:pt idx="102">
                  <c:v>604057.25525798136</c:v>
                </c:pt>
                <c:pt idx="103">
                  <c:v>597240.2024584238</c:v>
                </c:pt>
                <c:pt idx="104">
                  <c:v>580846.62379421224</c:v>
                </c:pt>
                <c:pt idx="105">
                  <c:v>578040.26837667753</c:v>
                </c:pt>
                <c:pt idx="106">
                  <c:v>567642.69556125836</c:v>
                </c:pt>
                <c:pt idx="107">
                  <c:v>563732.49999999977</c:v>
                </c:pt>
                <c:pt idx="108">
                  <c:v>538764.51685901801</c:v>
                </c:pt>
                <c:pt idx="109">
                  <c:v>519165.64774381369</c:v>
                </c:pt>
                <c:pt idx="110">
                  <c:v>516692.56397046195</c:v>
                </c:pt>
                <c:pt idx="111">
                  <c:v>516085.96059113299</c:v>
                </c:pt>
                <c:pt idx="112">
                  <c:v>509332.49999999977</c:v>
                </c:pt>
                <c:pt idx="113">
                  <c:v>497116.37122002081</c:v>
                </c:pt>
                <c:pt idx="114">
                  <c:v>465681.35932033975</c:v>
                </c:pt>
                <c:pt idx="115">
                  <c:v>464935.05843071779</c:v>
                </c:pt>
                <c:pt idx="116">
                  <c:v>464179.50326797389</c:v>
                </c:pt>
                <c:pt idx="117">
                  <c:v>451008.82943143812</c:v>
                </c:pt>
                <c:pt idx="118">
                  <c:v>443638.43661401374</c:v>
                </c:pt>
                <c:pt idx="119">
                  <c:v>438486.90292758076</c:v>
                </c:pt>
                <c:pt idx="120">
                  <c:v>436400</c:v>
                </c:pt>
                <c:pt idx="121">
                  <c:v>435079.58500669338</c:v>
                </c:pt>
                <c:pt idx="122">
                  <c:v>425710.97345132753</c:v>
                </c:pt>
                <c:pt idx="123">
                  <c:v>408336.45790128573</c:v>
                </c:pt>
                <c:pt idx="124">
                  <c:v>392417.70715096476</c:v>
                </c:pt>
                <c:pt idx="125">
                  <c:v>384266.66666666651</c:v>
                </c:pt>
                <c:pt idx="126">
                  <c:v>383059.46512847417</c:v>
                </c:pt>
                <c:pt idx="127">
                  <c:v>337960.5519480519</c:v>
                </c:pt>
                <c:pt idx="128">
                  <c:v>337762.66474958044</c:v>
                </c:pt>
                <c:pt idx="129">
                  <c:v>332039.71751412447</c:v>
                </c:pt>
                <c:pt idx="130">
                  <c:v>326374.95881383843</c:v>
                </c:pt>
                <c:pt idx="131">
                  <c:v>318900.70921985828</c:v>
                </c:pt>
                <c:pt idx="132">
                  <c:v>314592.52615844551</c:v>
                </c:pt>
                <c:pt idx="133">
                  <c:v>310988.24674061104</c:v>
                </c:pt>
                <c:pt idx="134">
                  <c:v>308236.31886734394</c:v>
                </c:pt>
                <c:pt idx="135">
                  <c:v>305879.70401691319</c:v>
                </c:pt>
                <c:pt idx="136">
                  <c:v>302451.25382262981</c:v>
                </c:pt>
                <c:pt idx="137">
                  <c:v>295136.25675246259</c:v>
                </c:pt>
                <c:pt idx="138">
                  <c:v>288543.97266959492</c:v>
                </c:pt>
                <c:pt idx="139">
                  <c:v>275264.58055925439</c:v>
                </c:pt>
                <c:pt idx="140">
                  <c:v>272877.29083665344</c:v>
                </c:pt>
                <c:pt idx="141">
                  <c:v>268313.27514928789</c:v>
                </c:pt>
                <c:pt idx="142">
                  <c:v>267248.24395373277</c:v>
                </c:pt>
                <c:pt idx="143">
                  <c:v>263153.30112721422</c:v>
                </c:pt>
                <c:pt idx="144">
                  <c:v>257839.14458391443</c:v>
                </c:pt>
                <c:pt idx="145">
                  <c:v>256651.06253794767</c:v>
                </c:pt>
                <c:pt idx="146">
                  <c:v>244728.59531772579</c:v>
                </c:pt>
                <c:pt idx="147">
                  <c:v>243987.92500794423</c:v>
                </c:pt>
                <c:pt idx="148">
                  <c:v>229239.48087431677</c:v>
                </c:pt>
                <c:pt idx="149">
                  <c:v>229149.38741022395</c:v>
                </c:pt>
                <c:pt idx="150">
                  <c:v>224079.98626845167</c:v>
                </c:pt>
                <c:pt idx="151">
                  <c:v>222807.0085470085</c:v>
                </c:pt>
                <c:pt idx="152">
                  <c:v>216983.54331269138</c:v>
                </c:pt>
                <c:pt idx="153">
                  <c:v>215765.23911491805</c:v>
                </c:pt>
                <c:pt idx="154">
                  <c:v>209361.63285750058</c:v>
                </c:pt>
                <c:pt idx="155">
                  <c:v>201414.12429378531</c:v>
                </c:pt>
                <c:pt idx="156">
                  <c:v>196066.66666666651</c:v>
                </c:pt>
                <c:pt idx="157">
                  <c:v>178169.00108577637</c:v>
                </c:pt>
                <c:pt idx="158">
                  <c:v>175637.21645520953</c:v>
                </c:pt>
                <c:pt idx="159">
                  <c:v>169799.81351981359</c:v>
                </c:pt>
                <c:pt idx="160">
                  <c:v>169674.37446074199</c:v>
                </c:pt>
                <c:pt idx="161">
                  <c:v>163631.4341846758</c:v>
                </c:pt>
                <c:pt idx="162">
                  <c:v>157013.77532228362</c:v>
                </c:pt>
                <c:pt idx="163">
                  <c:v>154600</c:v>
                </c:pt>
                <c:pt idx="164">
                  <c:v>153311.18493909179</c:v>
                </c:pt>
                <c:pt idx="165">
                  <c:v>147066.66666666663</c:v>
                </c:pt>
                <c:pt idx="166">
                  <c:v>143623.48082595877</c:v>
                </c:pt>
                <c:pt idx="167">
                  <c:v>136361.59885795857</c:v>
                </c:pt>
                <c:pt idx="168">
                  <c:v>132662.53006252996</c:v>
                </c:pt>
                <c:pt idx="169">
                  <c:v>132039.91275899671</c:v>
                </c:pt>
                <c:pt idx="170">
                  <c:v>123715.20848397189</c:v>
                </c:pt>
                <c:pt idx="171">
                  <c:v>123446.27892432758</c:v>
                </c:pt>
                <c:pt idx="172">
                  <c:v>121818.08981657168</c:v>
                </c:pt>
                <c:pt idx="173">
                  <c:v>119982.66068759328</c:v>
                </c:pt>
                <c:pt idx="174">
                  <c:v>119670.32124963147</c:v>
                </c:pt>
                <c:pt idx="175">
                  <c:v>116842.81247616862</c:v>
                </c:pt>
                <c:pt idx="176">
                  <c:v>114431.38528138539</c:v>
                </c:pt>
                <c:pt idx="177">
                  <c:v>114287.87878787867</c:v>
                </c:pt>
                <c:pt idx="178">
                  <c:v>102106.78466076683</c:v>
                </c:pt>
                <c:pt idx="179">
                  <c:v>93555.162832055008</c:v>
                </c:pt>
                <c:pt idx="180">
                  <c:v>80040.458452722058</c:v>
                </c:pt>
                <c:pt idx="181">
                  <c:v>76597.265782066854</c:v>
                </c:pt>
                <c:pt idx="182">
                  <c:v>75691.256830601022</c:v>
                </c:pt>
                <c:pt idx="183">
                  <c:v>72845.725264169043</c:v>
                </c:pt>
                <c:pt idx="184">
                  <c:v>72602.22559433477</c:v>
                </c:pt>
                <c:pt idx="185">
                  <c:v>72238.867438867223</c:v>
                </c:pt>
                <c:pt idx="186">
                  <c:v>69521.454173067119</c:v>
                </c:pt>
                <c:pt idx="187">
                  <c:v>65288.35112692765</c:v>
                </c:pt>
                <c:pt idx="188">
                  <c:v>61175.193798449589</c:v>
                </c:pt>
                <c:pt idx="189">
                  <c:v>54156.256157635245</c:v>
                </c:pt>
                <c:pt idx="190">
                  <c:v>52810.008936550468</c:v>
                </c:pt>
                <c:pt idx="191">
                  <c:v>51525.058863101178</c:v>
                </c:pt>
                <c:pt idx="192">
                  <c:v>49263.405017921235</c:v>
                </c:pt>
                <c:pt idx="193">
                  <c:v>48815.579504632158</c:v>
                </c:pt>
                <c:pt idx="194">
                  <c:v>47559.26680244389</c:v>
                </c:pt>
                <c:pt idx="195">
                  <c:v>45336.964980544522</c:v>
                </c:pt>
                <c:pt idx="196">
                  <c:v>38581.013042159611</c:v>
                </c:pt>
                <c:pt idx="197">
                  <c:v>36763.761693746899</c:v>
                </c:pt>
                <c:pt idx="198">
                  <c:v>26987.242268041009</c:v>
                </c:pt>
                <c:pt idx="199">
                  <c:v>24319.416386083001</c:v>
                </c:pt>
                <c:pt idx="200">
                  <c:v>20749.565217391122</c:v>
                </c:pt>
                <c:pt idx="201">
                  <c:v>18662.416998671833</c:v>
                </c:pt>
                <c:pt idx="202">
                  <c:v>9221.3660245183855</c:v>
                </c:pt>
                <c:pt idx="203">
                  <c:v>-2461.5776081425138</c:v>
                </c:pt>
                <c:pt idx="204">
                  <c:v>-7693.9736346516293</c:v>
                </c:pt>
                <c:pt idx="205">
                  <c:v>-9415.0776053217705</c:v>
                </c:pt>
                <c:pt idx="206">
                  <c:v>-10315.696649030084</c:v>
                </c:pt>
                <c:pt idx="207">
                  <c:v>-10979.166666666744</c:v>
                </c:pt>
                <c:pt idx="208">
                  <c:v>-20309.124087591423</c:v>
                </c:pt>
                <c:pt idx="209">
                  <c:v>-23184.212271973491</c:v>
                </c:pt>
                <c:pt idx="210">
                  <c:v>-26024.409068982117</c:v>
                </c:pt>
                <c:pt idx="211">
                  <c:v>-26921.739130434813</c:v>
                </c:pt>
                <c:pt idx="212">
                  <c:v>-34533.333333333489</c:v>
                </c:pt>
                <c:pt idx="213">
                  <c:v>-35759.587020648876</c:v>
                </c:pt>
                <c:pt idx="214">
                  <c:v>-36002.165399677586</c:v>
                </c:pt>
                <c:pt idx="215">
                  <c:v>-41417.519908987568</c:v>
                </c:pt>
                <c:pt idx="216">
                  <c:v>-42042.490842490923</c:v>
                </c:pt>
                <c:pt idx="217">
                  <c:v>-46037.876743139932</c:v>
                </c:pt>
                <c:pt idx="218">
                  <c:v>-48743.096795839723</c:v>
                </c:pt>
                <c:pt idx="219">
                  <c:v>-53612.246989495121</c:v>
                </c:pt>
                <c:pt idx="220">
                  <c:v>-56881.834215167561</c:v>
                </c:pt>
                <c:pt idx="221">
                  <c:v>-57914.812512948178</c:v>
                </c:pt>
                <c:pt idx="222">
                  <c:v>-65109.558338826755</c:v>
                </c:pt>
                <c:pt idx="223">
                  <c:v>-72527.036395147443</c:v>
                </c:pt>
                <c:pt idx="224">
                  <c:v>-80282.78137292224</c:v>
                </c:pt>
                <c:pt idx="225">
                  <c:v>-84923.892100192839</c:v>
                </c:pt>
                <c:pt idx="226">
                  <c:v>-86365.24919981719</c:v>
                </c:pt>
                <c:pt idx="227">
                  <c:v>-91304.369538077503</c:v>
                </c:pt>
                <c:pt idx="228">
                  <c:v>-91733.333333333489</c:v>
                </c:pt>
                <c:pt idx="229">
                  <c:v>-98265.335994677385</c:v>
                </c:pt>
                <c:pt idx="230">
                  <c:v>-101870.43248014129</c:v>
                </c:pt>
                <c:pt idx="231">
                  <c:v>-105342.5976385104</c:v>
                </c:pt>
                <c:pt idx="232">
                  <c:v>-108983.31419823947</c:v>
                </c:pt>
                <c:pt idx="233">
                  <c:v>-115137.48455646157</c:v>
                </c:pt>
                <c:pt idx="234">
                  <c:v>-131461.58536585374</c:v>
                </c:pt>
                <c:pt idx="235">
                  <c:v>-135829.32628797891</c:v>
                </c:pt>
                <c:pt idx="236">
                  <c:v>-140095.80731489742</c:v>
                </c:pt>
                <c:pt idx="237">
                  <c:v>-140550.04524886888</c:v>
                </c:pt>
                <c:pt idx="238">
                  <c:v>-142411.23144805455</c:v>
                </c:pt>
                <c:pt idx="239">
                  <c:v>-146341.57303370791</c:v>
                </c:pt>
                <c:pt idx="240">
                  <c:v>-147133.33333333337</c:v>
                </c:pt>
                <c:pt idx="241">
                  <c:v>-154357.28715728724</c:v>
                </c:pt>
                <c:pt idx="242">
                  <c:v>-157912.3336929162</c:v>
                </c:pt>
                <c:pt idx="243">
                  <c:v>-165060.40421292349</c:v>
                </c:pt>
                <c:pt idx="244">
                  <c:v>-165734.2575477513</c:v>
                </c:pt>
                <c:pt idx="245">
                  <c:v>-167158.55855855881</c:v>
                </c:pt>
                <c:pt idx="246">
                  <c:v>-170000</c:v>
                </c:pt>
                <c:pt idx="247">
                  <c:v>-173634.62849352416</c:v>
                </c:pt>
                <c:pt idx="248">
                  <c:v>-181333.33333333337</c:v>
                </c:pt>
                <c:pt idx="249">
                  <c:v>-187047.14991322928</c:v>
                </c:pt>
                <c:pt idx="250">
                  <c:v>-187512.98765432113</c:v>
                </c:pt>
                <c:pt idx="251">
                  <c:v>-189963.44916344923</c:v>
                </c:pt>
                <c:pt idx="252">
                  <c:v>-191751.78687459393</c:v>
                </c:pt>
                <c:pt idx="253">
                  <c:v>-205986.65377176041</c:v>
                </c:pt>
                <c:pt idx="254">
                  <c:v>-211421.61254199338</c:v>
                </c:pt>
                <c:pt idx="255">
                  <c:v>-220384.98727735388</c:v>
                </c:pt>
                <c:pt idx="256">
                  <c:v>-221257.83076203847</c:v>
                </c:pt>
                <c:pt idx="257">
                  <c:v>-225147.45700695203</c:v>
                </c:pt>
                <c:pt idx="258">
                  <c:v>-227500</c:v>
                </c:pt>
                <c:pt idx="259">
                  <c:v>-228657.69528228929</c:v>
                </c:pt>
                <c:pt idx="260">
                  <c:v>-230866.66666666674</c:v>
                </c:pt>
                <c:pt idx="261">
                  <c:v>-237193.01138594444</c:v>
                </c:pt>
                <c:pt idx="262">
                  <c:v>-244384.68899521534</c:v>
                </c:pt>
                <c:pt idx="263">
                  <c:v>-256562.70665128797</c:v>
                </c:pt>
                <c:pt idx="264">
                  <c:v>-259890.04270622623</c:v>
                </c:pt>
                <c:pt idx="265">
                  <c:v>-261545.01018329966</c:v>
                </c:pt>
                <c:pt idx="266">
                  <c:v>-269200</c:v>
                </c:pt>
                <c:pt idx="267">
                  <c:v>-271024.97136311571</c:v>
                </c:pt>
                <c:pt idx="268">
                  <c:v>-278926.4380330249</c:v>
                </c:pt>
                <c:pt idx="269">
                  <c:v>-279398.75097580021</c:v>
                </c:pt>
                <c:pt idx="270">
                  <c:v>-284405.01474926248</c:v>
                </c:pt>
                <c:pt idx="271">
                  <c:v>-287000</c:v>
                </c:pt>
                <c:pt idx="272">
                  <c:v>-289335.45937737275</c:v>
                </c:pt>
                <c:pt idx="273">
                  <c:v>-290661.24794745492</c:v>
                </c:pt>
                <c:pt idx="274">
                  <c:v>-292427.62762762769</c:v>
                </c:pt>
                <c:pt idx="275">
                  <c:v>-299278.44712182065</c:v>
                </c:pt>
                <c:pt idx="276">
                  <c:v>-300273.47517730505</c:v>
                </c:pt>
                <c:pt idx="277">
                  <c:v>-307910.93520961597</c:v>
                </c:pt>
                <c:pt idx="278">
                  <c:v>-325200</c:v>
                </c:pt>
                <c:pt idx="279">
                  <c:v>-329115.17824329296</c:v>
                </c:pt>
                <c:pt idx="280">
                  <c:v>-344624.29629629641</c:v>
                </c:pt>
                <c:pt idx="281">
                  <c:v>-345721.64544564148</c:v>
                </c:pt>
                <c:pt idx="282">
                  <c:v>-346644.649730562</c:v>
                </c:pt>
                <c:pt idx="283">
                  <c:v>-392933.33333333337</c:v>
                </c:pt>
                <c:pt idx="284">
                  <c:v>-398697.70723104058</c:v>
                </c:pt>
                <c:pt idx="285">
                  <c:v>-402877.02089009993</c:v>
                </c:pt>
                <c:pt idx="286">
                  <c:v>-407592.3460898503</c:v>
                </c:pt>
                <c:pt idx="287">
                  <c:v>-419565.52511415526</c:v>
                </c:pt>
                <c:pt idx="288">
                  <c:v>-423709.47907771147</c:v>
                </c:pt>
                <c:pt idx="289">
                  <c:v>-571803.44086021511</c:v>
                </c:pt>
              </c:numCache>
            </c:numRef>
          </c:val>
          <c:extLst>
            <c:ext xmlns:c16="http://schemas.microsoft.com/office/drawing/2014/chart" uri="{C3380CC4-5D6E-409C-BE32-E72D297353CC}">
              <c16:uniqueId val="{00000000-B000-4CB9-A8CB-EAE045A00014}"/>
            </c:ext>
          </c:extLst>
        </c:ser>
        <c:dLbls>
          <c:showLegendKey val="0"/>
          <c:showVal val="0"/>
          <c:showCatName val="0"/>
          <c:showSerName val="0"/>
          <c:showPercent val="0"/>
          <c:showBubbleSize val="0"/>
        </c:dLbls>
        <c:gapWidth val="219"/>
        <c:overlap val="-27"/>
        <c:axId val="1660002768"/>
        <c:axId val="1668366944"/>
      </c:barChart>
      <c:catAx>
        <c:axId val="16600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8366944"/>
        <c:crosses val="autoZero"/>
        <c:auto val="1"/>
        <c:lblAlgn val="ctr"/>
        <c:lblOffset val="100"/>
        <c:noMultiLvlLbl val="0"/>
      </c:catAx>
      <c:valAx>
        <c:axId val="16683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000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v-SE" sz="1000"/>
              <a:t>Eget kapital i småhuset 80-talister i Sverige</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title>
    <c:autoTitleDeleted val="0"/>
    <c:plotArea>
      <c:layout/>
      <c:barChart>
        <c:barDir val="col"/>
        <c:grouping val="clustered"/>
        <c:varyColors val="0"/>
        <c:ser>
          <c:idx val="0"/>
          <c:order val="0"/>
          <c:spPr>
            <a:solidFill>
              <a:schemeClr val="accent1"/>
            </a:solidFill>
            <a:ln>
              <a:noFill/>
            </a:ln>
            <a:effectLst/>
          </c:spPr>
          <c:invertIfNegative val="0"/>
          <c:cat>
            <c:strRef>
              <c:f>'Sverige 80-talist'!$B$1:$B$290</c:f>
              <c:strCache>
                <c:ptCount val="290"/>
                <c:pt idx="0">
                  <c:v>Lidingö</c:v>
                </c:pt>
                <c:pt idx="1">
                  <c:v>Danderyd</c:v>
                </c:pt>
                <c:pt idx="2">
                  <c:v>Solna</c:v>
                </c:pt>
                <c:pt idx="3">
                  <c:v>Nacka</c:v>
                </c:pt>
                <c:pt idx="4">
                  <c:v>Sundbyberg</c:v>
                </c:pt>
                <c:pt idx="5">
                  <c:v>Stockholm</c:v>
                </c:pt>
                <c:pt idx="6">
                  <c:v>Sollentuna</c:v>
                </c:pt>
                <c:pt idx="7">
                  <c:v>Täby</c:v>
                </c:pt>
                <c:pt idx="8">
                  <c:v>Vaxholm</c:v>
                </c:pt>
                <c:pt idx="9">
                  <c:v>Vellinge</c:v>
                </c:pt>
                <c:pt idx="10">
                  <c:v>Göteborg</c:v>
                </c:pt>
                <c:pt idx="11">
                  <c:v>Lomma</c:v>
                </c:pt>
                <c:pt idx="12">
                  <c:v>Partille</c:v>
                </c:pt>
                <c:pt idx="13">
                  <c:v>Mölndal</c:v>
                </c:pt>
                <c:pt idx="14">
                  <c:v>Tyresö</c:v>
                </c:pt>
                <c:pt idx="15">
                  <c:v>Ekerö</c:v>
                </c:pt>
                <c:pt idx="16">
                  <c:v>Båstad</c:v>
                </c:pt>
                <c:pt idx="17">
                  <c:v>Öckerö</c:v>
                </c:pt>
                <c:pt idx="18">
                  <c:v>Huddinge</c:v>
                </c:pt>
                <c:pt idx="19">
                  <c:v>Kungsbacka</c:v>
                </c:pt>
                <c:pt idx="20">
                  <c:v>Lund</c:v>
                </c:pt>
                <c:pt idx="21">
                  <c:v>Malmö</c:v>
                </c:pt>
                <c:pt idx="22">
                  <c:v>Järfälla</c:v>
                </c:pt>
                <c:pt idx="23">
                  <c:v>Salem</c:v>
                </c:pt>
                <c:pt idx="24">
                  <c:v>Upplands Väsby</c:v>
                </c:pt>
                <c:pt idx="25">
                  <c:v>Härryda</c:v>
                </c:pt>
                <c:pt idx="26">
                  <c:v>Värmdö</c:v>
                </c:pt>
                <c:pt idx="27">
                  <c:v>Österåker</c:v>
                </c:pt>
                <c:pt idx="28">
                  <c:v>Botkyrka</c:v>
                </c:pt>
                <c:pt idx="29">
                  <c:v>Vallentuna</c:v>
                </c:pt>
                <c:pt idx="30">
                  <c:v>Kungälv</c:v>
                </c:pt>
                <c:pt idx="31">
                  <c:v>Sigtuna</c:v>
                </c:pt>
                <c:pt idx="32">
                  <c:v>Linköping</c:v>
                </c:pt>
                <c:pt idx="33">
                  <c:v>Lerum</c:v>
                </c:pt>
                <c:pt idx="34">
                  <c:v>Helsingborg</c:v>
                </c:pt>
                <c:pt idx="35">
                  <c:v>Knivsta</c:v>
                </c:pt>
                <c:pt idx="36">
                  <c:v>Uppsala</c:v>
                </c:pt>
                <c:pt idx="37">
                  <c:v>Jönköping</c:v>
                </c:pt>
                <c:pt idx="38">
                  <c:v>Haninge</c:v>
                </c:pt>
                <c:pt idx="39">
                  <c:v>Umeå</c:v>
                </c:pt>
                <c:pt idx="40">
                  <c:v>Burlöv</c:v>
                </c:pt>
                <c:pt idx="41">
                  <c:v>Tanum</c:v>
                </c:pt>
                <c:pt idx="42">
                  <c:v>Staffanstorp</c:v>
                </c:pt>
                <c:pt idx="43">
                  <c:v>Sotenäs</c:v>
                </c:pt>
                <c:pt idx="44">
                  <c:v>Upplands-Bro</c:v>
                </c:pt>
                <c:pt idx="45">
                  <c:v>Södertälje</c:v>
                </c:pt>
                <c:pt idx="46">
                  <c:v>Gotland</c:v>
                </c:pt>
                <c:pt idx="47">
                  <c:v>Simrishamn</c:v>
                </c:pt>
                <c:pt idx="48">
                  <c:v>Västerås</c:v>
                </c:pt>
                <c:pt idx="49">
                  <c:v>Alingsås</c:v>
                </c:pt>
                <c:pt idx="50">
                  <c:v>Stenungsund</c:v>
                </c:pt>
                <c:pt idx="51">
                  <c:v>Höganäs</c:v>
                </c:pt>
                <c:pt idx="52">
                  <c:v>Trosa</c:v>
                </c:pt>
                <c:pt idx="53">
                  <c:v>Halmstad</c:v>
                </c:pt>
                <c:pt idx="54">
                  <c:v>Varberg</c:v>
                </c:pt>
                <c:pt idx="55">
                  <c:v>Ale</c:v>
                </c:pt>
                <c:pt idx="56">
                  <c:v>Kävlinge</c:v>
                </c:pt>
                <c:pt idx="57">
                  <c:v>Strömstad</c:v>
                </c:pt>
                <c:pt idx="58">
                  <c:v>Strängnäs</c:v>
                </c:pt>
                <c:pt idx="59">
                  <c:v>Håbo</c:v>
                </c:pt>
                <c:pt idx="60">
                  <c:v>Nyköping</c:v>
                </c:pt>
                <c:pt idx="61">
                  <c:v>Ystad</c:v>
                </c:pt>
                <c:pt idx="62">
                  <c:v>Nynäshamn</c:v>
                </c:pt>
                <c:pt idx="63">
                  <c:v>Norrköping</c:v>
                </c:pt>
                <c:pt idx="64">
                  <c:v>Ängelholm</c:v>
                </c:pt>
                <c:pt idx="65">
                  <c:v>Falun</c:v>
                </c:pt>
                <c:pt idx="66">
                  <c:v>Växjö</c:v>
                </c:pt>
                <c:pt idx="67">
                  <c:v>Svedala</c:v>
                </c:pt>
                <c:pt idx="68">
                  <c:v>Örebro</c:v>
                </c:pt>
                <c:pt idx="69">
                  <c:v>Tjörn</c:v>
                </c:pt>
                <c:pt idx="70">
                  <c:v>Gävle</c:v>
                </c:pt>
                <c:pt idx="71">
                  <c:v>Hammarö</c:v>
                </c:pt>
                <c:pt idx="72">
                  <c:v>Enköping</c:v>
                </c:pt>
                <c:pt idx="73">
                  <c:v>Bollebygd</c:v>
                </c:pt>
                <c:pt idx="74">
                  <c:v>Trollhättan</c:v>
                </c:pt>
                <c:pt idx="75">
                  <c:v>Åre</c:v>
                </c:pt>
                <c:pt idx="76">
                  <c:v>Uddevalla</c:v>
                </c:pt>
                <c:pt idx="77">
                  <c:v>Nykvarn</c:v>
                </c:pt>
                <c:pt idx="78">
                  <c:v>Söderköping</c:v>
                </c:pt>
                <c:pt idx="79">
                  <c:v>Falkenberg</c:v>
                </c:pt>
                <c:pt idx="80">
                  <c:v>Eskilstuna</c:v>
                </c:pt>
                <c:pt idx="81">
                  <c:v>Orust</c:v>
                </c:pt>
                <c:pt idx="82">
                  <c:v>Leksand</c:v>
                </c:pt>
                <c:pt idx="83">
                  <c:v>Karlstad</c:v>
                </c:pt>
                <c:pt idx="84">
                  <c:v>Sundsvall</c:v>
                </c:pt>
                <c:pt idx="85">
                  <c:v>Borås</c:v>
                </c:pt>
                <c:pt idx="86">
                  <c:v>Habo</c:v>
                </c:pt>
                <c:pt idx="87">
                  <c:v>Rättvik</c:v>
                </c:pt>
                <c:pt idx="88">
                  <c:v>Östersund</c:v>
                </c:pt>
                <c:pt idx="89">
                  <c:v>Kalmar</c:v>
                </c:pt>
                <c:pt idx="90">
                  <c:v>Landskrona</c:v>
                </c:pt>
                <c:pt idx="91">
                  <c:v>Norrtälje</c:v>
                </c:pt>
                <c:pt idx="92">
                  <c:v>Trelleborg</c:v>
                </c:pt>
                <c:pt idx="93">
                  <c:v>Oxelösund</c:v>
                </c:pt>
                <c:pt idx="94">
                  <c:v>Sala</c:v>
                </c:pt>
                <c:pt idx="95">
                  <c:v>Gnesta</c:v>
                </c:pt>
                <c:pt idx="96">
                  <c:v>Eslöv</c:v>
                </c:pt>
                <c:pt idx="97">
                  <c:v>Luleå</c:v>
                </c:pt>
                <c:pt idx="98">
                  <c:v>Borlänge</c:v>
                </c:pt>
                <c:pt idx="99">
                  <c:v>Köping</c:v>
                </c:pt>
                <c:pt idx="100">
                  <c:v>Motala</c:v>
                </c:pt>
                <c:pt idx="101">
                  <c:v>Skövde</c:v>
                </c:pt>
                <c:pt idx="102">
                  <c:v>Värnamo</c:v>
                </c:pt>
                <c:pt idx="103">
                  <c:v>Lidköping</c:v>
                </c:pt>
                <c:pt idx="104">
                  <c:v>Älmhult</c:v>
                </c:pt>
                <c:pt idx="105">
                  <c:v>Karlskrona</c:v>
                </c:pt>
                <c:pt idx="106">
                  <c:v>Mjölby</c:v>
                </c:pt>
                <c:pt idx="107">
                  <c:v>Vännäs</c:v>
                </c:pt>
                <c:pt idx="108">
                  <c:v>Tranås</c:v>
                </c:pt>
                <c:pt idx="109">
                  <c:v>Skellefteå</c:v>
                </c:pt>
                <c:pt idx="110">
                  <c:v>Flen</c:v>
                </c:pt>
                <c:pt idx="111">
                  <c:v>Borgholm</c:v>
                </c:pt>
                <c:pt idx="112">
                  <c:v>Kumla</c:v>
                </c:pt>
                <c:pt idx="113">
                  <c:v>Vårgårda</c:v>
                </c:pt>
                <c:pt idx="114">
                  <c:v>Ulricehamn</c:v>
                </c:pt>
                <c:pt idx="115">
                  <c:v>Skurup</c:v>
                </c:pt>
                <c:pt idx="116">
                  <c:v>Kinda</c:v>
                </c:pt>
                <c:pt idx="117">
                  <c:v>Laholm</c:v>
                </c:pt>
                <c:pt idx="118">
                  <c:v>Kiruna</c:v>
                </c:pt>
                <c:pt idx="119">
                  <c:v>Vänersborg</c:v>
                </c:pt>
                <c:pt idx="120">
                  <c:v>Hallstahammar</c:v>
                </c:pt>
                <c:pt idx="121">
                  <c:v>Åtvidaberg</c:v>
                </c:pt>
                <c:pt idx="122">
                  <c:v>Katrineholm</c:v>
                </c:pt>
                <c:pt idx="123">
                  <c:v>Vindeln</c:v>
                </c:pt>
                <c:pt idx="124">
                  <c:v>Kungsör</c:v>
                </c:pt>
                <c:pt idx="125">
                  <c:v>Mark</c:v>
                </c:pt>
                <c:pt idx="126">
                  <c:v>Kristianstad</c:v>
                </c:pt>
                <c:pt idx="127">
                  <c:v>Vadstena</c:v>
                </c:pt>
                <c:pt idx="128">
                  <c:v>Mullsjö</c:v>
                </c:pt>
                <c:pt idx="129">
                  <c:v>Eksjö</c:v>
                </c:pt>
                <c:pt idx="130">
                  <c:v>Karlskoga</c:v>
                </c:pt>
                <c:pt idx="131">
                  <c:v>Mora</c:v>
                </c:pt>
                <c:pt idx="132">
                  <c:v>Lilla Edet</c:v>
                </c:pt>
                <c:pt idx="133">
                  <c:v>Vetlanda</c:v>
                </c:pt>
                <c:pt idx="134">
                  <c:v>Arboga</c:v>
                </c:pt>
                <c:pt idx="135">
                  <c:v>Finspång</c:v>
                </c:pt>
                <c:pt idx="136">
                  <c:v>Östhammar</c:v>
                </c:pt>
                <c:pt idx="137">
                  <c:v>Höör</c:v>
                </c:pt>
                <c:pt idx="138">
                  <c:v>Säter</c:v>
                </c:pt>
                <c:pt idx="139">
                  <c:v>Härnösand</c:v>
                </c:pt>
                <c:pt idx="140">
                  <c:v>Vaggeryd</c:v>
                </c:pt>
                <c:pt idx="141">
                  <c:v>Malung-Sälen</c:v>
                </c:pt>
                <c:pt idx="142">
                  <c:v>Mariestad</c:v>
                </c:pt>
                <c:pt idx="143">
                  <c:v>Robertsfors</c:v>
                </c:pt>
                <c:pt idx="144">
                  <c:v>Ydre</c:v>
                </c:pt>
                <c:pt idx="145">
                  <c:v>Falköping</c:v>
                </c:pt>
                <c:pt idx="146">
                  <c:v>Munkedal</c:v>
                </c:pt>
                <c:pt idx="147">
                  <c:v>Svalöv</c:v>
                </c:pt>
                <c:pt idx="148">
                  <c:v>Gullspång</c:v>
                </c:pt>
                <c:pt idx="149">
                  <c:v>Kil</c:v>
                </c:pt>
                <c:pt idx="150">
                  <c:v>Ödeshög</c:v>
                </c:pt>
                <c:pt idx="151">
                  <c:v>Essunga</c:v>
                </c:pt>
                <c:pt idx="152">
                  <c:v>Askersund</c:v>
                </c:pt>
                <c:pt idx="153">
                  <c:v>Örnsköldsvik</c:v>
                </c:pt>
                <c:pt idx="154">
                  <c:v>Timrå</c:v>
                </c:pt>
                <c:pt idx="155">
                  <c:v>Krokom</c:v>
                </c:pt>
                <c:pt idx="156">
                  <c:v>Sorsele</c:v>
                </c:pt>
                <c:pt idx="157">
                  <c:v>Storuman</c:v>
                </c:pt>
                <c:pt idx="158">
                  <c:v>Smedjebacken</c:v>
                </c:pt>
                <c:pt idx="159">
                  <c:v>Götene</c:v>
                </c:pt>
                <c:pt idx="160">
                  <c:v>Hallsberg</c:v>
                </c:pt>
                <c:pt idx="161">
                  <c:v>Nora</c:v>
                </c:pt>
                <c:pt idx="162">
                  <c:v>Oskarshamn</c:v>
                </c:pt>
                <c:pt idx="163">
                  <c:v>Piteå</c:v>
                </c:pt>
                <c:pt idx="164">
                  <c:v>Alvesta</c:v>
                </c:pt>
                <c:pt idx="165">
                  <c:v>Kristinehamn</c:v>
                </c:pt>
                <c:pt idx="166">
                  <c:v>Sunne</c:v>
                </c:pt>
                <c:pt idx="167">
                  <c:v>Älvkarleby</c:v>
                </c:pt>
                <c:pt idx="168">
                  <c:v>Osby</c:v>
                </c:pt>
                <c:pt idx="169">
                  <c:v>Lysekil</c:v>
                </c:pt>
                <c:pt idx="170">
                  <c:v>Skara</c:v>
                </c:pt>
                <c:pt idx="171">
                  <c:v>Surahammar</c:v>
                </c:pt>
                <c:pt idx="172">
                  <c:v>Degerfors</c:v>
                </c:pt>
                <c:pt idx="173">
                  <c:v>Åstorp</c:v>
                </c:pt>
                <c:pt idx="174">
                  <c:v>Hudiksvall</c:v>
                </c:pt>
                <c:pt idx="175">
                  <c:v>Sandviken</c:v>
                </c:pt>
                <c:pt idx="176">
                  <c:v>Ludvika</c:v>
                </c:pt>
                <c:pt idx="177">
                  <c:v>Vara</c:v>
                </c:pt>
                <c:pt idx="178">
                  <c:v>Avesta</c:v>
                </c:pt>
                <c:pt idx="179">
                  <c:v>Nässjö</c:v>
                </c:pt>
                <c:pt idx="180">
                  <c:v>Arvika</c:v>
                </c:pt>
                <c:pt idx="181">
                  <c:v>Nordmaling</c:v>
                </c:pt>
                <c:pt idx="182">
                  <c:v>Lycksele</c:v>
                </c:pt>
                <c:pt idx="183">
                  <c:v>Sävsjö</c:v>
                </c:pt>
                <c:pt idx="184">
                  <c:v>Töreboda</c:v>
                </c:pt>
                <c:pt idx="185">
                  <c:v>Tomelilla</c:v>
                </c:pt>
                <c:pt idx="186">
                  <c:v>Karlsborg</c:v>
                </c:pt>
                <c:pt idx="187">
                  <c:v>Hjo</c:v>
                </c:pt>
                <c:pt idx="188">
                  <c:v>Karlshamn</c:v>
                </c:pt>
                <c:pt idx="189">
                  <c:v>Tibro</c:v>
                </c:pt>
                <c:pt idx="190">
                  <c:v>Vingåker</c:v>
                </c:pt>
                <c:pt idx="191">
                  <c:v>Dorotea</c:v>
                </c:pt>
                <c:pt idx="192">
                  <c:v>Hässleholm</c:v>
                </c:pt>
                <c:pt idx="193">
                  <c:v>Boxholm</c:v>
                </c:pt>
                <c:pt idx="194">
                  <c:v>Åmål</c:v>
                </c:pt>
                <c:pt idx="195">
                  <c:v>Grästorp</c:v>
                </c:pt>
                <c:pt idx="196">
                  <c:v>Åsele</c:v>
                </c:pt>
                <c:pt idx="197">
                  <c:v>Arjeplog</c:v>
                </c:pt>
                <c:pt idx="198">
                  <c:v>Tierp</c:v>
                </c:pt>
                <c:pt idx="199">
                  <c:v>Mörbylånga</c:v>
                </c:pt>
                <c:pt idx="200">
                  <c:v>Ljungby</c:v>
                </c:pt>
                <c:pt idx="201">
                  <c:v>Älvdalen</c:v>
                </c:pt>
                <c:pt idx="202">
                  <c:v>Tranemo</c:v>
                </c:pt>
                <c:pt idx="203">
                  <c:v>Aneby</c:v>
                </c:pt>
                <c:pt idx="204">
                  <c:v>Forshaga</c:v>
                </c:pt>
                <c:pt idx="205">
                  <c:v>Laxå</c:v>
                </c:pt>
                <c:pt idx="206">
                  <c:v>Kalix</c:v>
                </c:pt>
                <c:pt idx="207">
                  <c:v>Hedemora</c:v>
                </c:pt>
                <c:pt idx="208">
                  <c:v>Hörby</c:v>
                </c:pt>
                <c:pt idx="209">
                  <c:v>Gällivare</c:v>
                </c:pt>
                <c:pt idx="210">
                  <c:v>Herrljunga</c:v>
                </c:pt>
                <c:pt idx="211">
                  <c:v>Tidaholm</c:v>
                </c:pt>
                <c:pt idx="212">
                  <c:v>Gagnef</c:v>
                </c:pt>
                <c:pt idx="213">
                  <c:v>Nybro</c:v>
                </c:pt>
                <c:pt idx="214">
                  <c:v>Klippan</c:v>
                </c:pt>
                <c:pt idx="215">
                  <c:v>Norsjö</c:v>
                </c:pt>
                <c:pt idx="216">
                  <c:v>Söderhamn</c:v>
                </c:pt>
                <c:pt idx="217">
                  <c:v>Olofström</c:v>
                </c:pt>
                <c:pt idx="218">
                  <c:v>Valdemarsvik</c:v>
                </c:pt>
                <c:pt idx="219">
                  <c:v>Torsås</c:v>
                </c:pt>
                <c:pt idx="220">
                  <c:v>Vansbro</c:v>
                </c:pt>
                <c:pt idx="221">
                  <c:v>Västervik</c:v>
                </c:pt>
                <c:pt idx="222">
                  <c:v>Överkalix</c:v>
                </c:pt>
                <c:pt idx="223">
                  <c:v>Härjedalen</c:v>
                </c:pt>
                <c:pt idx="224">
                  <c:v>Ronneby</c:v>
                </c:pt>
                <c:pt idx="225">
                  <c:v>Orsa</c:v>
                </c:pt>
                <c:pt idx="226">
                  <c:v>Sollefteå</c:v>
                </c:pt>
                <c:pt idx="227">
                  <c:v>Gislaved</c:v>
                </c:pt>
                <c:pt idx="228">
                  <c:v>Säffle</c:v>
                </c:pt>
                <c:pt idx="229">
                  <c:v>Svenljunga</c:v>
                </c:pt>
                <c:pt idx="230">
                  <c:v>Arvidsjaur</c:v>
                </c:pt>
                <c:pt idx="231">
                  <c:v>Lessebo</c:v>
                </c:pt>
                <c:pt idx="232">
                  <c:v>Vilhelmina</c:v>
                </c:pt>
                <c:pt idx="233">
                  <c:v>Ånge</c:v>
                </c:pt>
                <c:pt idx="234">
                  <c:v>Färgelanda</c:v>
                </c:pt>
                <c:pt idx="235">
                  <c:v>Ljusdal</c:v>
                </c:pt>
                <c:pt idx="236">
                  <c:v>Dals-Ed</c:v>
                </c:pt>
                <c:pt idx="237">
                  <c:v>Bjurholm</c:v>
                </c:pt>
                <c:pt idx="238">
                  <c:v>Bräcke</c:v>
                </c:pt>
                <c:pt idx="239">
                  <c:v>Sjöbo</c:v>
                </c:pt>
                <c:pt idx="240">
                  <c:v>Bollnäs</c:v>
                </c:pt>
                <c:pt idx="241">
                  <c:v>Pajala</c:v>
                </c:pt>
                <c:pt idx="242">
                  <c:v>Heby</c:v>
                </c:pt>
                <c:pt idx="243">
                  <c:v>Övertorneå</c:v>
                </c:pt>
                <c:pt idx="244">
                  <c:v>Ovanåker</c:v>
                </c:pt>
                <c:pt idx="245">
                  <c:v>Emmaboda</c:v>
                </c:pt>
                <c:pt idx="246">
                  <c:v>Bjuv</c:v>
                </c:pt>
                <c:pt idx="247">
                  <c:v>Älvsbyn</c:v>
                </c:pt>
                <c:pt idx="248">
                  <c:v>Lekeberg</c:v>
                </c:pt>
                <c:pt idx="249">
                  <c:v>Mönsterås</c:v>
                </c:pt>
                <c:pt idx="250">
                  <c:v>Uppvidinge</c:v>
                </c:pt>
                <c:pt idx="251">
                  <c:v>Örkelljunga</c:v>
                </c:pt>
                <c:pt idx="252">
                  <c:v>Grums</c:v>
                </c:pt>
                <c:pt idx="253">
                  <c:v>Ockelbo</c:v>
                </c:pt>
                <c:pt idx="254">
                  <c:v>Gnosjö</c:v>
                </c:pt>
                <c:pt idx="255">
                  <c:v>Lindesberg</c:v>
                </c:pt>
                <c:pt idx="256">
                  <c:v>Kramfors</c:v>
                </c:pt>
                <c:pt idx="257">
                  <c:v>Storfors</c:v>
                </c:pt>
                <c:pt idx="258">
                  <c:v>Torsby</c:v>
                </c:pt>
                <c:pt idx="259">
                  <c:v>Ragunda</c:v>
                </c:pt>
                <c:pt idx="260">
                  <c:v>Nordanstig</c:v>
                </c:pt>
                <c:pt idx="261">
                  <c:v>Fagersta</c:v>
                </c:pt>
                <c:pt idx="262">
                  <c:v>Vimmerby</c:v>
                </c:pt>
                <c:pt idx="263">
                  <c:v>Tingsryd</c:v>
                </c:pt>
                <c:pt idx="264">
                  <c:v>Hofors</c:v>
                </c:pt>
                <c:pt idx="265">
                  <c:v>Munkfors</c:v>
                </c:pt>
                <c:pt idx="266">
                  <c:v>Boden</c:v>
                </c:pt>
                <c:pt idx="267">
                  <c:v>Haparanda</c:v>
                </c:pt>
                <c:pt idx="268">
                  <c:v>Mellerud</c:v>
                </c:pt>
                <c:pt idx="269">
                  <c:v>Malå</c:v>
                </c:pt>
                <c:pt idx="270">
                  <c:v>Hultsfred</c:v>
                </c:pt>
                <c:pt idx="271">
                  <c:v>Hylte</c:v>
                </c:pt>
                <c:pt idx="272">
                  <c:v>Årjäng</c:v>
                </c:pt>
                <c:pt idx="273">
                  <c:v>Ljusnarsberg</c:v>
                </c:pt>
                <c:pt idx="274">
                  <c:v>Perstorp</c:v>
                </c:pt>
                <c:pt idx="275">
                  <c:v>Jokkmokk</c:v>
                </c:pt>
                <c:pt idx="276">
                  <c:v>Hällefors</c:v>
                </c:pt>
                <c:pt idx="277">
                  <c:v>Hagfors</c:v>
                </c:pt>
                <c:pt idx="278">
                  <c:v>Östra Göinge</c:v>
                </c:pt>
                <c:pt idx="279">
                  <c:v>Bengtsfors</c:v>
                </c:pt>
                <c:pt idx="280">
                  <c:v>Berg</c:v>
                </c:pt>
                <c:pt idx="281">
                  <c:v>Filipstad</c:v>
                </c:pt>
                <c:pt idx="282">
                  <c:v>Markaryd</c:v>
                </c:pt>
                <c:pt idx="283">
                  <c:v>Sölvesborg</c:v>
                </c:pt>
                <c:pt idx="284">
                  <c:v>Norberg</c:v>
                </c:pt>
                <c:pt idx="285">
                  <c:v>Högsby</c:v>
                </c:pt>
                <c:pt idx="286">
                  <c:v>Strömsund</c:v>
                </c:pt>
                <c:pt idx="287">
                  <c:v>Bromölla</c:v>
                </c:pt>
                <c:pt idx="288">
                  <c:v>Skinnskatteberg</c:v>
                </c:pt>
                <c:pt idx="289">
                  <c:v>Eda</c:v>
                </c:pt>
              </c:strCache>
            </c:strRef>
          </c:cat>
          <c:val>
            <c:numRef>
              <c:f>'Sverige 80-talist'!$A$1:$A$290</c:f>
              <c:numCache>
                <c:formatCode>#,##0</c:formatCode>
                <c:ptCount val="290"/>
                <c:pt idx="0">
                  <c:v>0</c:v>
                </c:pt>
                <c:pt idx="1">
                  <c:v>6141866.666666666</c:v>
                </c:pt>
                <c:pt idx="2">
                  <c:v>4755018.2590233544</c:v>
                </c:pt>
                <c:pt idx="3">
                  <c:v>3794106.470647065</c:v>
                </c:pt>
                <c:pt idx="4">
                  <c:v>3479400</c:v>
                </c:pt>
                <c:pt idx="5">
                  <c:v>3228865.8302535177</c:v>
                </c:pt>
                <c:pt idx="6">
                  <c:v>3042066.6666666665</c:v>
                </c:pt>
                <c:pt idx="7">
                  <c:v>2882800</c:v>
                </c:pt>
                <c:pt idx="8">
                  <c:v>2526200</c:v>
                </c:pt>
                <c:pt idx="9">
                  <c:v>2484521.7684324034</c:v>
                </c:pt>
                <c:pt idx="10">
                  <c:v>2443356.3788497401</c:v>
                </c:pt>
                <c:pt idx="11">
                  <c:v>2162781.6106531392</c:v>
                </c:pt>
                <c:pt idx="12">
                  <c:v>2054267.9651460787</c:v>
                </c:pt>
                <c:pt idx="13">
                  <c:v>1898989.8684210526</c:v>
                </c:pt>
                <c:pt idx="14">
                  <c:v>1748266.6666666665</c:v>
                </c:pt>
                <c:pt idx="15">
                  <c:v>1731060.7192254495</c:v>
                </c:pt>
                <c:pt idx="16">
                  <c:v>1676680.0168990283</c:v>
                </c:pt>
                <c:pt idx="17">
                  <c:v>1667666.6666666665</c:v>
                </c:pt>
                <c:pt idx="18">
                  <c:v>1632442.2308786246</c:v>
                </c:pt>
                <c:pt idx="19">
                  <c:v>1503882.7414772725</c:v>
                </c:pt>
                <c:pt idx="20">
                  <c:v>1496107.9934747145</c:v>
                </c:pt>
                <c:pt idx="21">
                  <c:v>1427670.55460263</c:v>
                </c:pt>
                <c:pt idx="22">
                  <c:v>1402712.2943386449</c:v>
                </c:pt>
                <c:pt idx="23">
                  <c:v>1336733.333333333</c:v>
                </c:pt>
                <c:pt idx="24">
                  <c:v>1269172.7959697731</c:v>
                </c:pt>
                <c:pt idx="25">
                  <c:v>1263577.0709078861</c:v>
                </c:pt>
                <c:pt idx="26">
                  <c:v>1182752.3391812863</c:v>
                </c:pt>
                <c:pt idx="27">
                  <c:v>1147370.3902493571</c:v>
                </c:pt>
                <c:pt idx="28">
                  <c:v>1114810.8073335476</c:v>
                </c:pt>
                <c:pt idx="29">
                  <c:v>1066976.5133171915</c:v>
                </c:pt>
                <c:pt idx="30">
                  <c:v>1055340.3471484235</c:v>
                </c:pt>
                <c:pt idx="31">
                  <c:v>1044156.7671584347</c:v>
                </c:pt>
                <c:pt idx="32">
                  <c:v>1036248.7742463788</c:v>
                </c:pt>
                <c:pt idx="33">
                  <c:v>1033062.939385552</c:v>
                </c:pt>
                <c:pt idx="34">
                  <c:v>1031877.7870331807</c:v>
                </c:pt>
                <c:pt idx="35">
                  <c:v>1021320.7448203512</c:v>
                </c:pt>
                <c:pt idx="36">
                  <c:v>1010247.1114764581</c:v>
                </c:pt>
                <c:pt idx="37">
                  <c:v>975207.11876766011</c:v>
                </c:pt>
                <c:pt idx="38">
                  <c:v>925360.53915048344</c:v>
                </c:pt>
                <c:pt idx="39">
                  <c:v>920437.53396029258</c:v>
                </c:pt>
                <c:pt idx="40">
                  <c:v>915800</c:v>
                </c:pt>
                <c:pt idx="41">
                  <c:v>903412.61261261255</c:v>
                </c:pt>
                <c:pt idx="42">
                  <c:v>882284.09818569897</c:v>
                </c:pt>
                <c:pt idx="43">
                  <c:v>872126.24113475159</c:v>
                </c:pt>
                <c:pt idx="44">
                  <c:v>839439.90442054952</c:v>
                </c:pt>
                <c:pt idx="45">
                  <c:v>833002.56321440917</c:v>
                </c:pt>
                <c:pt idx="46">
                  <c:v>826967.51599767292</c:v>
                </c:pt>
                <c:pt idx="47">
                  <c:v>813922.78994322778</c:v>
                </c:pt>
                <c:pt idx="48">
                  <c:v>738544.47528009024</c:v>
                </c:pt>
                <c:pt idx="49">
                  <c:v>708479.86260197498</c:v>
                </c:pt>
                <c:pt idx="50">
                  <c:v>700484.2344906088</c:v>
                </c:pt>
                <c:pt idx="51">
                  <c:v>691597.88090697164</c:v>
                </c:pt>
                <c:pt idx="52">
                  <c:v>684686.41975308629</c:v>
                </c:pt>
                <c:pt idx="53">
                  <c:v>667106.26961255167</c:v>
                </c:pt>
                <c:pt idx="54">
                  <c:v>653938.92279119091</c:v>
                </c:pt>
                <c:pt idx="55">
                  <c:v>630429.39199511148</c:v>
                </c:pt>
                <c:pt idx="56">
                  <c:v>627019.8949907762</c:v>
                </c:pt>
                <c:pt idx="57">
                  <c:v>604920.50281751202</c:v>
                </c:pt>
                <c:pt idx="58">
                  <c:v>597345.80579562811</c:v>
                </c:pt>
                <c:pt idx="59">
                  <c:v>581189.93881713087</c:v>
                </c:pt>
                <c:pt idx="60">
                  <c:v>572103.22496409435</c:v>
                </c:pt>
                <c:pt idx="61">
                  <c:v>564020.05277044838</c:v>
                </c:pt>
                <c:pt idx="62">
                  <c:v>550737.39837398333</c:v>
                </c:pt>
                <c:pt idx="63">
                  <c:v>549490.99547011359</c:v>
                </c:pt>
                <c:pt idx="64">
                  <c:v>519548.20661958167</c:v>
                </c:pt>
                <c:pt idx="65">
                  <c:v>507930.48466864508</c:v>
                </c:pt>
                <c:pt idx="66">
                  <c:v>480679.95680345595</c:v>
                </c:pt>
                <c:pt idx="67">
                  <c:v>470391.24617737019</c:v>
                </c:pt>
                <c:pt idx="68">
                  <c:v>456688.08926080912</c:v>
                </c:pt>
                <c:pt idx="69">
                  <c:v>428845.74435159378</c:v>
                </c:pt>
                <c:pt idx="70">
                  <c:v>406501.44393241173</c:v>
                </c:pt>
                <c:pt idx="71">
                  <c:v>405133.33333333302</c:v>
                </c:pt>
                <c:pt idx="72">
                  <c:v>392504.90664350847</c:v>
                </c:pt>
                <c:pt idx="73">
                  <c:v>365090.52287581656</c:v>
                </c:pt>
                <c:pt idx="74">
                  <c:v>354024.49557522126</c:v>
                </c:pt>
                <c:pt idx="75">
                  <c:v>346011.46601146599</c:v>
                </c:pt>
                <c:pt idx="76">
                  <c:v>343095.99217986269</c:v>
                </c:pt>
                <c:pt idx="77">
                  <c:v>340084.69809760107</c:v>
                </c:pt>
                <c:pt idx="78">
                  <c:v>332071.85398655105</c:v>
                </c:pt>
                <c:pt idx="79">
                  <c:v>330006.0086902543</c:v>
                </c:pt>
                <c:pt idx="80">
                  <c:v>321444.87336102268</c:v>
                </c:pt>
                <c:pt idx="81">
                  <c:v>314254.40251572337</c:v>
                </c:pt>
                <c:pt idx="82">
                  <c:v>286024.66525722342</c:v>
                </c:pt>
                <c:pt idx="83">
                  <c:v>276012.6717682872</c:v>
                </c:pt>
                <c:pt idx="84">
                  <c:v>257920.20787527459</c:v>
                </c:pt>
                <c:pt idx="85">
                  <c:v>255088.03275637422</c:v>
                </c:pt>
                <c:pt idx="86">
                  <c:v>247280.12031719973</c:v>
                </c:pt>
                <c:pt idx="87">
                  <c:v>237505.74304322083</c:v>
                </c:pt>
                <c:pt idx="88">
                  <c:v>234695.33762057871</c:v>
                </c:pt>
                <c:pt idx="89">
                  <c:v>231038.6867305059</c:v>
                </c:pt>
                <c:pt idx="90">
                  <c:v>214685.07434594398</c:v>
                </c:pt>
                <c:pt idx="91">
                  <c:v>204613.75241582748</c:v>
                </c:pt>
                <c:pt idx="92">
                  <c:v>196733.77243962232</c:v>
                </c:pt>
                <c:pt idx="93">
                  <c:v>188400</c:v>
                </c:pt>
                <c:pt idx="94">
                  <c:v>183786.57335406938</c:v>
                </c:pt>
                <c:pt idx="95">
                  <c:v>183616.89623507811</c:v>
                </c:pt>
                <c:pt idx="96">
                  <c:v>157661.88552188547</c:v>
                </c:pt>
                <c:pt idx="97">
                  <c:v>141814.81865284964</c:v>
                </c:pt>
                <c:pt idx="98">
                  <c:v>122225.86592914537</c:v>
                </c:pt>
                <c:pt idx="99">
                  <c:v>107082.17317487253</c:v>
                </c:pt>
                <c:pt idx="100">
                  <c:v>91948.627787306905</c:v>
                </c:pt>
                <c:pt idx="101">
                  <c:v>89854.683065278921</c:v>
                </c:pt>
                <c:pt idx="102">
                  <c:v>88876.833414278692</c:v>
                </c:pt>
                <c:pt idx="103">
                  <c:v>83717.728004684672</c:v>
                </c:pt>
                <c:pt idx="104">
                  <c:v>66347.570040022722</c:v>
                </c:pt>
                <c:pt idx="105">
                  <c:v>64564.164732181001</c:v>
                </c:pt>
                <c:pt idx="106">
                  <c:v>56458.469637149479</c:v>
                </c:pt>
                <c:pt idx="107">
                  <c:v>46400</c:v>
                </c:pt>
                <c:pt idx="108">
                  <c:v>44760.883977900492</c:v>
                </c:pt>
                <c:pt idx="109">
                  <c:v>-10109.357520786114</c:v>
                </c:pt>
                <c:pt idx="110">
                  <c:v>-22709.355742296902</c:v>
                </c:pt>
                <c:pt idx="111">
                  <c:v>-24905.019740552874</c:v>
                </c:pt>
                <c:pt idx="112">
                  <c:v>-27915.151515151374</c:v>
                </c:pt>
                <c:pt idx="113">
                  <c:v>-30609.186351706041</c:v>
                </c:pt>
                <c:pt idx="114">
                  <c:v>-31385.021097046556</c:v>
                </c:pt>
                <c:pt idx="115">
                  <c:v>-37900.14788524108</c:v>
                </c:pt>
                <c:pt idx="116">
                  <c:v>-47860.859854829963</c:v>
                </c:pt>
                <c:pt idx="117">
                  <c:v>-55544.50867052027</c:v>
                </c:pt>
                <c:pt idx="118">
                  <c:v>-69890.330330330413</c:v>
                </c:pt>
                <c:pt idx="119">
                  <c:v>-71137.381651975214</c:v>
                </c:pt>
                <c:pt idx="120">
                  <c:v>-76823.459539717995</c:v>
                </c:pt>
                <c:pt idx="121">
                  <c:v>-76922.39364188863</c:v>
                </c:pt>
                <c:pt idx="122">
                  <c:v>-83895.094684006646</c:v>
                </c:pt>
                <c:pt idx="123">
                  <c:v>-87513.764510779409</c:v>
                </c:pt>
                <c:pt idx="124">
                  <c:v>-90419.931271477835</c:v>
                </c:pt>
                <c:pt idx="125">
                  <c:v>-102325.62125107134</c:v>
                </c:pt>
                <c:pt idx="126">
                  <c:v>-112888.26056826068</c:v>
                </c:pt>
                <c:pt idx="127">
                  <c:v>-113088.28828828875</c:v>
                </c:pt>
                <c:pt idx="128">
                  <c:v>-129476.27520759194</c:v>
                </c:pt>
                <c:pt idx="129">
                  <c:v>-147927.74193548411</c:v>
                </c:pt>
                <c:pt idx="130">
                  <c:v>-160466.66666666674</c:v>
                </c:pt>
                <c:pt idx="131">
                  <c:v>-174729.20738327922</c:v>
                </c:pt>
                <c:pt idx="132">
                  <c:v>-175277.85388127854</c:v>
                </c:pt>
                <c:pt idx="133">
                  <c:v>-176865.65715395077</c:v>
                </c:pt>
                <c:pt idx="134">
                  <c:v>-179420.28985507251</c:v>
                </c:pt>
                <c:pt idx="135">
                  <c:v>-183319.36056838371</c:v>
                </c:pt>
                <c:pt idx="136">
                  <c:v>-195900.69238377828</c:v>
                </c:pt>
                <c:pt idx="137">
                  <c:v>-201510.16691957507</c:v>
                </c:pt>
                <c:pt idx="138">
                  <c:v>-202757.66705291625</c:v>
                </c:pt>
                <c:pt idx="139">
                  <c:v>-203333.53941267403</c:v>
                </c:pt>
                <c:pt idx="140">
                  <c:v>-204777.97460879851</c:v>
                </c:pt>
                <c:pt idx="141">
                  <c:v>-220564.67585502821</c:v>
                </c:pt>
                <c:pt idx="142">
                  <c:v>-223763.04508499638</c:v>
                </c:pt>
                <c:pt idx="143">
                  <c:v>-228036.64122137427</c:v>
                </c:pt>
                <c:pt idx="144">
                  <c:v>-234771.08433734952</c:v>
                </c:pt>
                <c:pt idx="145">
                  <c:v>-242780.00370988692</c:v>
                </c:pt>
                <c:pt idx="146">
                  <c:v>-242832.67457180517</c:v>
                </c:pt>
                <c:pt idx="147">
                  <c:v>-244504.43848674418</c:v>
                </c:pt>
                <c:pt idx="148">
                  <c:v>-246901.76870748308</c:v>
                </c:pt>
                <c:pt idx="149">
                  <c:v>-250326.36469221837</c:v>
                </c:pt>
                <c:pt idx="150">
                  <c:v>-254595.9100204499</c:v>
                </c:pt>
                <c:pt idx="151">
                  <c:v>-257921.3008130081</c:v>
                </c:pt>
                <c:pt idx="152">
                  <c:v>-261329.67479674798</c:v>
                </c:pt>
                <c:pt idx="153">
                  <c:v>-264259.47745049116</c:v>
                </c:pt>
                <c:pt idx="154">
                  <c:v>-269506.69077757676</c:v>
                </c:pt>
                <c:pt idx="155">
                  <c:v>-279727.41935483878</c:v>
                </c:pt>
                <c:pt idx="156">
                  <c:v>-280757.81544256129</c:v>
                </c:pt>
                <c:pt idx="157">
                  <c:v>-281884.4444444445</c:v>
                </c:pt>
                <c:pt idx="158">
                  <c:v>-285935.36121672997</c:v>
                </c:pt>
                <c:pt idx="159">
                  <c:v>-292552.12726600072</c:v>
                </c:pt>
                <c:pt idx="160">
                  <c:v>-299247.82886334602</c:v>
                </c:pt>
                <c:pt idx="161">
                  <c:v>-302434.71074380167</c:v>
                </c:pt>
                <c:pt idx="162">
                  <c:v>-306083.11922470108</c:v>
                </c:pt>
                <c:pt idx="163">
                  <c:v>-306089.05521206209</c:v>
                </c:pt>
                <c:pt idx="164">
                  <c:v>-306363.5148042026</c:v>
                </c:pt>
                <c:pt idx="165">
                  <c:v>-309219.11262798635</c:v>
                </c:pt>
                <c:pt idx="166">
                  <c:v>-309451.14726741775</c:v>
                </c:pt>
                <c:pt idx="167">
                  <c:v>-311778.23834196897</c:v>
                </c:pt>
                <c:pt idx="168">
                  <c:v>-314072.48872488737</c:v>
                </c:pt>
                <c:pt idx="169">
                  <c:v>-316396.26262626285</c:v>
                </c:pt>
                <c:pt idx="170">
                  <c:v>-324896.57960199029</c:v>
                </c:pt>
                <c:pt idx="171">
                  <c:v>-325263.69426751602</c:v>
                </c:pt>
                <c:pt idx="172">
                  <c:v>-325753.14285714296</c:v>
                </c:pt>
                <c:pt idx="173">
                  <c:v>-332424.91301322216</c:v>
                </c:pt>
                <c:pt idx="174">
                  <c:v>-332585.39151965338</c:v>
                </c:pt>
                <c:pt idx="175">
                  <c:v>-334570.14825920365</c:v>
                </c:pt>
                <c:pt idx="176">
                  <c:v>-339209.25524222711</c:v>
                </c:pt>
                <c:pt idx="177">
                  <c:v>-339405.17448856798</c:v>
                </c:pt>
                <c:pt idx="178">
                  <c:v>-340502.32031692145</c:v>
                </c:pt>
                <c:pt idx="179">
                  <c:v>-341162.93103448302</c:v>
                </c:pt>
                <c:pt idx="180">
                  <c:v>-347070.50789585989</c:v>
                </c:pt>
                <c:pt idx="181">
                  <c:v>-350400</c:v>
                </c:pt>
                <c:pt idx="182">
                  <c:v>-351758.45539280958</c:v>
                </c:pt>
                <c:pt idx="183">
                  <c:v>-355279.48717948725</c:v>
                </c:pt>
                <c:pt idx="184">
                  <c:v>-358910.94147582701</c:v>
                </c:pt>
                <c:pt idx="185">
                  <c:v>-359332.1937321939</c:v>
                </c:pt>
                <c:pt idx="186">
                  <c:v>-369266.82966585178</c:v>
                </c:pt>
                <c:pt idx="187">
                  <c:v>-374338.66231647623</c:v>
                </c:pt>
                <c:pt idx="188">
                  <c:v>-379033.89261744963</c:v>
                </c:pt>
                <c:pt idx="189">
                  <c:v>-380910.79545454541</c:v>
                </c:pt>
                <c:pt idx="190">
                  <c:v>-383408</c:v>
                </c:pt>
                <c:pt idx="191">
                  <c:v>-394940.74074074079</c:v>
                </c:pt>
                <c:pt idx="192">
                  <c:v>-400871.33333333349</c:v>
                </c:pt>
                <c:pt idx="193">
                  <c:v>-404377.83882783889</c:v>
                </c:pt>
                <c:pt idx="194">
                  <c:v>-404423.92095683841</c:v>
                </c:pt>
                <c:pt idx="195">
                  <c:v>-404446.53130287654</c:v>
                </c:pt>
                <c:pt idx="196">
                  <c:v>-405802.70270270272</c:v>
                </c:pt>
                <c:pt idx="197">
                  <c:v>-410066.66666666674</c:v>
                </c:pt>
                <c:pt idx="198">
                  <c:v>-413814.71790678659</c:v>
                </c:pt>
                <c:pt idx="199">
                  <c:v>-417697.51412429381</c:v>
                </c:pt>
                <c:pt idx="200">
                  <c:v>-425911.99054932082</c:v>
                </c:pt>
                <c:pt idx="201">
                  <c:v>-426125.83333333349</c:v>
                </c:pt>
                <c:pt idx="202">
                  <c:v>-428278.06809184491</c:v>
                </c:pt>
                <c:pt idx="203">
                  <c:v>-428527.33761598868</c:v>
                </c:pt>
                <c:pt idx="204">
                  <c:v>-437200.59391239798</c:v>
                </c:pt>
                <c:pt idx="205">
                  <c:v>-437596.20958751417</c:v>
                </c:pt>
                <c:pt idx="206">
                  <c:v>-438493.1577021589</c:v>
                </c:pt>
                <c:pt idx="207">
                  <c:v>-441792.55884586205</c:v>
                </c:pt>
                <c:pt idx="208">
                  <c:v>-441914.07407407416</c:v>
                </c:pt>
                <c:pt idx="209">
                  <c:v>-452009.20532182697</c:v>
                </c:pt>
                <c:pt idx="210">
                  <c:v>-456984.42153493711</c:v>
                </c:pt>
                <c:pt idx="211">
                  <c:v>-459292.68292682921</c:v>
                </c:pt>
                <c:pt idx="212">
                  <c:v>-465535.9246171969</c:v>
                </c:pt>
                <c:pt idx="213">
                  <c:v>-471659.42151081166</c:v>
                </c:pt>
                <c:pt idx="214">
                  <c:v>-474587.27735368954</c:v>
                </c:pt>
                <c:pt idx="215">
                  <c:v>-478266.66666666674</c:v>
                </c:pt>
                <c:pt idx="216">
                  <c:v>-484751.65266106441</c:v>
                </c:pt>
                <c:pt idx="217">
                  <c:v>-485689.53771289554</c:v>
                </c:pt>
                <c:pt idx="218">
                  <c:v>-493608.04859529249</c:v>
                </c:pt>
                <c:pt idx="219">
                  <c:v>-495319.90846681921</c:v>
                </c:pt>
                <c:pt idx="220">
                  <c:v>-501041.84566428023</c:v>
                </c:pt>
                <c:pt idx="221">
                  <c:v>-504522.37037037034</c:v>
                </c:pt>
                <c:pt idx="222">
                  <c:v>-505000</c:v>
                </c:pt>
                <c:pt idx="223">
                  <c:v>-507491.58993247407</c:v>
                </c:pt>
                <c:pt idx="224">
                  <c:v>-508105.13819328509</c:v>
                </c:pt>
                <c:pt idx="225">
                  <c:v>-512200</c:v>
                </c:pt>
                <c:pt idx="226">
                  <c:v>-523869.56521739135</c:v>
                </c:pt>
                <c:pt idx="227">
                  <c:v>-524114.37273938698</c:v>
                </c:pt>
                <c:pt idx="228">
                  <c:v>-524866.14651062014</c:v>
                </c:pt>
                <c:pt idx="229">
                  <c:v>-525172.08863743511</c:v>
                </c:pt>
                <c:pt idx="230">
                  <c:v>-525466.66666666674</c:v>
                </c:pt>
                <c:pt idx="231">
                  <c:v>-527833.07291666674</c:v>
                </c:pt>
                <c:pt idx="232">
                  <c:v>-529800</c:v>
                </c:pt>
                <c:pt idx="233">
                  <c:v>-533058.09341010882</c:v>
                </c:pt>
                <c:pt idx="234">
                  <c:v>-534952.47524752491</c:v>
                </c:pt>
                <c:pt idx="235">
                  <c:v>-540246.32152588549</c:v>
                </c:pt>
                <c:pt idx="236">
                  <c:v>-545237.6712328766</c:v>
                </c:pt>
                <c:pt idx="237">
                  <c:v>-549400</c:v>
                </c:pt>
                <c:pt idx="238">
                  <c:v>-556093.03797468357</c:v>
                </c:pt>
                <c:pt idx="239">
                  <c:v>-559817.96945193177</c:v>
                </c:pt>
                <c:pt idx="240">
                  <c:v>-566249.60823819134</c:v>
                </c:pt>
                <c:pt idx="241">
                  <c:v>-567955.17633674643</c:v>
                </c:pt>
                <c:pt idx="242">
                  <c:v>-570609.17030567676</c:v>
                </c:pt>
                <c:pt idx="243">
                  <c:v>-573579.48717948725</c:v>
                </c:pt>
                <c:pt idx="244">
                  <c:v>-575426.45502645522</c:v>
                </c:pt>
                <c:pt idx="245">
                  <c:v>-577874.40476190485</c:v>
                </c:pt>
                <c:pt idx="246">
                  <c:v>-578501.54882154893</c:v>
                </c:pt>
                <c:pt idx="247">
                  <c:v>-579800</c:v>
                </c:pt>
                <c:pt idx="248">
                  <c:v>-585402.95138888899</c:v>
                </c:pt>
                <c:pt idx="249">
                  <c:v>-586538.81707794755</c:v>
                </c:pt>
                <c:pt idx="250">
                  <c:v>-588684.82758620707</c:v>
                </c:pt>
                <c:pt idx="251">
                  <c:v>-589872.38095238083</c:v>
                </c:pt>
                <c:pt idx="252">
                  <c:v>-591007.06886045123</c:v>
                </c:pt>
                <c:pt idx="253">
                  <c:v>-596364.63414634159</c:v>
                </c:pt>
                <c:pt idx="254">
                  <c:v>-604923.71995820268</c:v>
                </c:pt>
                <c:pt idx="255">
                  <c:v>-607730.89201877941</c:v>
                </c:pt>
                <c:pt idx="256">
                  <c:v>-607995.83746283455</c:v>
                </c:pt>
                <c:pt idx="257">
                  <c:v>-608095.78544061305</c:v>
                </c:pt>
                <c:pt idx="258">
                  <c:v>-610173.99723374844</c:v>
                </c:pt>
                <c:pt idx="259">
                  <c:v>-611974.62019660417</c:v>
                </c:pt>
                <c:pt idx="260">
                  <c:v>-613428.38499184349</c:v>
                </c:pt>
                <c:pt idx="261">
                  <c:v>-623484.93438320234</c:v>
                </c:pt>
                <c:pt idx="262">
                  <c:v>-630864.18672501831</c:v>
                </c:pt>
                <c:pt idx="263">
                  <c:v>-634385.86956521729</c:v>
                </c:pt>
                <c:pt idx="264">
                  <c:v>-635047.36164736166</c:v>
                </c:pt>
                <c:pt idx="265">
                  <c:v>-644801.41843971633</c:v>
                </c:pt>
                <c:pt idx="266">
                  <c:v>-649592.59259259282</c:v>
                </c:pt>
                <c:pt idx="267">
                  <c:v>-650943.58974358998</c:v>
                </c:pt>
                <c:pt idx="268">
                  <c:v>-653690.72296865005</c:v>
                </c:pt>
                <c:pt idx="269">
                  <c:v>-656466.66666666674</c:v>
                </c:pt>
                <c:pt idx="270">
                  <c:v>-659053.41991341999</c:v>
                </c:pt>
                <c:pt idx="271">
                  <c:v>-660915.22762951325</c:v>
                </c:pt>
                <c:pt idx="272">
                  <c:v>-661080.82901554392</c:v>
                </c:pt>
                <c:pt idx="273">
                  <c:v>-661400</c:v>
                </c:pt>
                <c:pt idx="274">
                  <c:v>-663800</c:v>
                </c:pt>
                <c:pt idx="275">
                  <c:v>-672366.78966789669</c:v>
                </c:pt>
                <c:pt idx="276">
                  <c:v>-681019.17502787057</c:v>
                </c:pt>
                <c:pt idx="277">
                  <c:v>-716983.79254457052</c:v>
                </c:pt>
                <c:pt idx="278">
                  <c:v>-728010.00373273622</c:v>
                </c:pt>
                <c:pt idx="279">
                  <c:v>-736612.05821205839</c:v>
                </c:pt>
                <c:pt idx="280">
                  <c:v>-742579.08002520492</c:v>
                </c:pt>
                <c:pt idx="281">
                  <c:v>-742720.84181941603</c:v>
                </c:pt>
                <c:pt idx="282">
                  <c:v>-765039.8734177216</c:v>
                </c:pt>
                <c:pt idx="283">
                  <c:v>-780385.18518518563</c:v>
                </c:pt>
                <c:pt idx="284">
                  <c:v>-784709.0521831736</c:v>
                </c:pt>
                <c:pt idx="285">
                  <c:v>-802863.61904761894</c:v>
                </c:pt>
                <c:pt idx="286">
                  <c:v>-803649.80158730154</c:v>
                </c:pt>
                <c:pt idx="287">
                  <c:v>-869835.33697632072</c:v>
                </c:pt>
                <c:pt idx="288">
                  <c:v>-880447.19764011796</c:v>
                </c:pt>
                <c:pt idx="289">
                  <c:v>-1046240.4293381036</c:v>
                </c:pt>
              </c:numCache>
            </c:numRef>
          </c:val>
          <c:extLst>
            <c:ext xmlns:c16="http://schemas.microsoft.com/office/drawing/2014/chart" uri="{C3380CC4-5D6E-409C-BE32-E72D297353CC}">
              <c16:uniqueId val="{00000000-8396-45CC-9549-2048F13B0CCB}"/>
            </c:ext>
          </c:extLst>
        </c:ser>
        <c:dLbls>
          <c:showLegendKey val="0"/>
          <c:showVal val="0"/>
          <c:showCatName val="0"/>
          <c:showSerName val="0"/>
          <c:showPercent val="0"/>
          <c:showBubbleSize val="0"/>
        </c:dLbls>
        <c:gapWidth val="219"/>
        <c:overlap val="-27"/>
        <c:axId val="1660002768"/>
        <c:axId val="1668366944"/>
      </c:barChart>
      <c:catAx>
        <c:axId val="166000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8366944"/>
        <c:crosses val="autoZero"/>
        <c:auto val="1"/>
        <c:lblAlgn val="ctr"/>
        <c:lblOffset val="100"/>
        <c:noMultiLvlLbl val="0"/>
      </c:catAx>
      <c:valAx>
        <c:axId val="1668366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v-SE"/>
          </a:p>
        </c:txPr>
        <c:crossAx val="166000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{5B1BE45D-66FE-4904-8FA5-B1D60F49FF04}tf02835058_win32.dotx</Template>
  <TotalTime>8</TotalTime>
  <Pages>6</Pages>
  <Words>1470</Words>
  <Characters>7791</Characters>
  <Application>Microsoft Office Word</Application>
  <DocSecurity>0</DocSecurity>
  <Lines>64</Lines>
  <Paragraphs>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Bivner Lena</dc:creator>
  <cp:keywords/>
  <dc:description/>
  <cp:lastModifiedBy>Bivner Lena</cp:lastModifiedBy>
  <cp:revision>3</cp:revision>
  <dcterms:created xsi:type="dcterms:W3CDTF">2020-11-16T09:52:00Z</dcterms:created>
  <dcterms:modified xsi:type="dcterms:W3CDTF">2020-11-24T07:40:00Z</dcterms:modified>
</cp:coreProperties>
</file>