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17-1127</w:t>
      </w:r>
      <w:bookmarkStart w:id="0" w:name="_GoBack"/>
      <w:bookmarkEnd w:id="0"/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Stockholm 2017-11-30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As from December 01, 2017, 7 Mini futures issued by BNP Paribas Issuance B.V. will be listed on NDX Sweden and will be included on the list for Knock-Outs. The instruments will be registered at Euroclear Sweden AB.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Type o</w:t>
      </w:r>
      <w:r w:rsidRPr="001D03CA">
        <w:rPr>
          <w:rFonts w:ascii="Baskerville MT" w:hAnsi="Baskerville MT" w:cs="Baskerville MT"/>
          <w:sz w:val="24"/>
          <w:szCs w:val="24"/>
          <w:lang w:val="en-US"/>
        </w:rPr>
        <w:t>f security: Mini futures, open ended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Term: As from December 01, 2017 and forward or until time for knock out event</w:t>
      </w:r>
    </w:p>
    <w:p w:rsidR="00AE1824" w:rsidRDefault="001D03C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E1824" w:rsidRDefault="00AE1824">
      <w:pPr>
        <w:spacing w:after="0"/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Africa Oil Corporation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 xml:space="preserve">Lundin Petroleum </w:t>
      </w:r>
      <w:r w:rsidRPr="001D03CA">
        <w:rPr>
          <w:rFonts w:ascii="Baskerville MT" w:hAnsi="Baskerville MT" w:cs="Baskerville MT"/>
          <w:sz w:val="24"/>
          <w:szCs w:val="24"/>
          <w:lang w:val="en-US"/>
        </w:rPr>
        <w:t>AB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Modern Times Group MTG AB ser.B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>Swedbank AB ser.A</w:t>
      </w:r>
    </w:p>
    <w:p w:rsidR="00AE1824" w:rsidRDefault="001D03CA">
      <w:pPr>
        <w:spacing w:after="0"/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 xml:space="preserve">Volvo AB ser. </w:t>
      </w:r>
      <w:r>
        <w:rPr>
          <w:rFonts w:ascii="Baskerville MT" w:hAnsi="Baskerville MT" w:cs="Baskerville MT"/>
          <w:sz w:val="24"/>
          <w:szCs w:val="24"/>
        </w:rPr>
        <w:t>B</w:t>
      </w:r>
    </w:p>
    <w:p w:rsidR="00AE1824" w:rsidRDefault="00AE1824">
      <w:pPr>
        <w:spacing w:after="0"/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E1824" w:rsidRPr="001D03CA" w:rsidRDefault="001D03CA">
      <w:pPr>
        <w:spacing w:after="0"/>
        <w:rPr>
          <w:lang w:val="en-US"/>
        </w:rPr>
      </w:pPr>
      <w:hyperlink r:id="rId7" w:history="1">
        <w:r w:rsidRPr="001D03CA">
          <w:rPr>
            <w:color w:val="0000FF"/>
            <w:u w:val="single"/>
            <w:lang w:val="en-US"/>
          </w:rPr>
          <w:t xml:space="preserve">[ NGM Market Data </w:t>
        </w:r>
        <w:r w:rsidRPr="001D03CA">
          <w:rPr>
            <w:color w:val="0000FF"/>
            <w:u w:val="single"/>
            <w:lang w:val="en-US"/>
          </w:rPr>
          <w:t>Web - MiniFutures ]</w:t>
        </w:r>
      </w:hyperlink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AE1824">
      <w:pPr>
        <w:spacing w:after="0"/>
        <w:rPr>
          <w:lang w:val="en-US"/>
        </w:rPr>
      </w:pP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b/>
          <w:sz w:val="18"/>
          <w:szCs w:val="18"/>
          <w:lang w:val="en-US"/>
        </w:rPr>
        <w:t>About NGM</w:t>
      </w:r>
    </w:p>
    <w:p w:rsidR="00AE1824" w:rsidRPr="001D03CA" w:rsidRDefault="001D03CA">
      <w:pPr>
        <w:spacing w:after="0"/>
        <w:rPr>
          <w:lang w:val="en-US"/>
        </w:rPr>
      </w:pPr>
      <w:r w:rsidRPr="001D03CA">
        <w:rPr>
          <w:rFonts w:ascii="Baskerville MT" w:hAnsi="Baskerville MT" w:cs="Baskerville MT"/>
          <w:sz w:val="18"/>
          <w:szCs w:val="18"/>
          <w:lang w:val="en-US"/>
        </w:rPr>
        <w:t>Nordic Growth Market NGM AB (NGM) is an authorized stock exchange with operations in Sweden, Norway, Denmark and Finland. The exchange is a wholly-owned subsidiary of Boerse Stuttgart, the leading retail exchange in Germany. NGM offers a complete marketpla</w:t>
      </w:r>
      <w:r w:rsidRPr="001D03CA">
        <w:rPr>
          <w:rFonts w:ascii="Baskerville MT" w:hAnsi="Baskerville MT" w:cs="Baskerville MT"/>
          <w:sz w:val="18"/>
          <w:szCs w:val="18"/>
          <w:lang w:val="en-US"/>
        </w:rPr>
        <w:t>ce for exchange traded products and provides a complete platform for companies wishing to list shares. For more information about NGM, visit www.ngm.se. Follow us on Linkedin and Twitter.</w:t>
      </w:r>
    </w:p>
    <w:p w:rsidR="00AE1824" w:rsidRPr="001D03CA" w:rsidRDefault="00AE1824">
      <w:pPr>
        <w:spacing w:after="0"/>
        <w:rPr>
          <w:lang w:val="en-US"/>
        </w:rPr>
      </w:pPr>
    </w:p>
    <w:p w:rsidR="00AE1824" w:rsidRDefault="001D03CA">
      <w:pPr>
        <w:spacing w:after="0"/>
      </w:pPr>
      <w:r w:rsidRPr="001D03CA">
        <w:rPr>
          <w:rFonts w:ascii="Baskerville MT" w:hAnsi="Baskerville MT" w:cs="Baskerville MT"/>
          <w:sz w:val="18"/>
          <w:szCs w:val="18"/>
          <w:lang w:val="en-US"/>
        </w:rPr>
        <w:t xml:space="preserve">Nordic Growth Market NGM AB ? </w:t>
      </w:r>
      <w:r>
        <w:rPr>
          <w:rFonts w:ascii="Baskerville MT" w:hAnsi="Baskerville MT" w:cs="Baskerville MT"/>
          <w:sz w:val="18"/>
          <w:szCs w:val="18"/>
        </w:rPr>
        <w:t>SE- 111 57 Stockholm, Mäster Samuelsg</w:t>
      </w:r>
      <w:r>
        <w:rPr>
          <w:rFonts w:ascii="Baskerville MT" w:hAnsi="Baskerville MT" w:cs="Baskerville MT"/>
          <w:sz w:val="18"/>
          <w:szCs w:val="18"/>
        </w:rPr>
        <w:t>atan 42.</w:t>
      </w:r>
    </w:p>
    <w:sectPr w:rsidR="00AE182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D03CA">
      <w:pPr>
        <w:spacing w:after="0" w:line="240" w:lineRule="auto"/>
      </w:pPr>
      <w:r>
        <w:separator/>
      </w:r>
    </w:p>
  </w:endnote>
  <w:endnote w:type="continuationSeparator" w:id="0">
    <w:p w:rsidR="00000000" w:rsidRDefault="001D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D03CA">
      <w:pPr>
        <w:spacing w:after="0" w:line="240" w:lineRule="auto"/>
      </w:pPr>
      <w:r>
        <w:separator/>
      </w:r>
    </w:p>
  </w:footnote>
  <w:footnote w:type="continuationSeparator" w:id="0">
    <w:p w:rsidR="00000000" w:rsidRDefault="001D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24" w:rsidRDefault="001D03C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824"/>
    <w:rsid w:val="001D03CA"/>
    <w:rsid w:val="00A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2B7BC"/>
  <w15:docId w15:val="{2A63FBBF-9A44-44D9-A7CA-B1B811D8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2017-11-30T09:46:00Z</dcterms:created>
  <dcterms:modified xsi:type="dcterms:W3CDTF">2017-11-30T13:07:00Z</dcterms:modified>
  <cp:category/>
</cp:coreProperties>
</file>