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17-929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Stockholm 2017-10-04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As from October 05, 2017, 20 Mini futures issued by BNP Paribas Issuance B.V. will be listed on NDX Sweden and will be included on the list for </w:t>
      </w:r>
      <w:proofErr w:type="gramStart"/>
      <w:r w:rsidRPr="00391BA3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391BA3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391BA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bookmarkStart w:id="0" w:name="_GoBack"/>
      <w:r w:rsidRPr="00391BA3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Type o</w:t>
      </w:r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f security: Mini </w:t>
      </w:r>
      <w:proofErr w:type="gramStart"/>
      <w:r w:rsidRPr="00391BA3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391BA3">
        <w:rPr>
          <w:rFonts w:ascii="Baskerville MT" w:hAnsi="Baskerville MT" w:cs="Baskerville MT"/>
          <w:sz w:val="24"/>
          <w:szCs w:val="24"/>
          <w:lang w:val="en-US"/>
        </w:rPr>
        <w:t>As from October 05, 2017 and forward</w:t>
      </w:r>
      <w:proofErr w:type="gramEnd"/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F1543" w:rsidRDefault="00FF1543">
      <w:pPr>
        <w:spacing w:after="0"/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Africa Oil Corporation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Fing</w:t>
      </w:r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erprint Cards AB </w:t>
      </w:r>
      <w:proofErr w:type="spellStart"/>
      <w:r w:rsidRPr="00391BA3">
        <w:rPr>
          <w:rFonts w:ascii="Baskerville MT" w:hAnsi="Baskerville MT" w:cs="Baskerville MT"/>
          <w:sz w:val="24"/>
          <w:szCs w:val="24"/>
          <w:lang w:val="en-US"/>
        </w:rPr>
        <w:t>ser</w:t>
      </w:r>
      <w:proofErr w:type="spellEnd"/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 B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Getinge AB ser. B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Hexagon AB ser. B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NCC AB ser. B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Nokia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Novo Nordisk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SAAB AB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Cellulosa AB ser. B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Skandinaviska Enskilda Banken ser. A</w:t>
      </w:r>
    </w:p>
    <w:p w:rsidR="00FF1543" w:rsidRDefault="00391BA3">
      <w:pPr>
        <w:spacing w:after="0"/>
      </w:pPr>
      <w:r>
        <w:rPr>
          <w:rFonts w:ascii="Baskerville MT" w:hAnsi="Baskerville MT" w:cs="Baskerville MT"/>
          <w:sz w:val="24"/>
          <w:szCs w:val="24"/>
        </w:rPr>
        <w:t>SKF AB ser. B</w:t>
      </w:r>
    </w:p>
    <w:p w:rsidR="00FF1543" w:rsidRPr="00391BA3" w:rsidRDefault="00391BA3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Stora Enso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ser. </w:t>
      </w:r>
      <w:r w:rsidRPr="00391BA3">
        <w:rPr>
          <w:rFonts w:ascii="Baskerville MT" w:hAnsi="Baskerville MT" w:cs="Baskerville MT"/>
          <w:sz w:val="24"/>
          <w:szCs w:val="24"/>
          <w:lang w:val="en-US"/>
        </w:rPr>
        <w:t>R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391BA3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391BA3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FF1543" w:rsidRPr="00391BA3" w:rsidRDefault="00391BA3">
      <w:pPr>
        <w:spacing w:after="0"/>
        <w:rPr>
          <w:lang w:val="en-US"/>
        </w:rPr>
      </w:pPr>
      <w:hyperlink r:id="rId7" w:history="1">
        <w:proofErr w:type="gramStart"/>
        <w:r w:rsidRPr="00391BA3">
          <w:rPr>
            <w:color w:val="0000FF"/>
            <w:u w:val="single"/>
            <w:lang w:val="en-US"/>
          </w:rPr>
          <w:t>[ NGM</w:t>
        </w:r>
        <w:proofErr w:type="gramEnd"/>
        <w:r w:rsidRPr="00391BA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391BA3">
          <w:rPr>
            <w:color w:val="0000FF"/>
            <w:u w:val="single"/>
            <w:lang w:val="en-US"/>
          </w:rPr>
          <w:t>MiniFutures</w:t>
        </w:r>
        <w:proofErr w:type="spellEnd"/>
        <w:r w:rsidRPr="00391BA3">
          <w:rPr>
            <w:color w:val="0000FF"/>
            <w:u w:val="single"/>
            <w:lang w:val="en-US"/>
          </w:rPr>
          <w:t xml:space="preserve"> ]</w:t>
        </w:r>
      </w:hyperlink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391BA3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391BA3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</w:t>
      </w:r>
      <w:r w:rsidRPr="00391BA3">
        <w:rPr>
          <w:rFonts w:ascii="Baskerville MT" w:hAnsi="Baskerville MT" w:cs="Baskerville MT"/>
          <w:b/>
          <w:sz w:val="24"/>
          <w:szCs w:val="24"/>
          <w:lang w:val="en-US"/>
        </w:rPr>
        <w:t>ed file.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391BA3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391BA3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18"/>
          <w:szCs w:val="18"/>
          <w:lang w:val="en-US"/>
        </w:rPr>
        <w:lastRenderedPageBreak/>
        <w:t xml:space="preserve">Nordic derivatives Exchange (NDX) is a market for listing and trading of derivatives and other structured products. </w:t>
      </w:r>
      <w:proofErr w:type="gramStart"/>
      <w:r w:rsidRPr="00391BA3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391BA3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391BA3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91BA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91BA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F1543" w:rsidRPr="00391BA3" w:rsidRDefault="00FF1543">
      <w:pPr>
        <w:spacing w:after="0"/>
        <w:rPr>
          <w:lang w:val="en-US"/>
        </w:rPr>
      </w:pPr>
    </w:p>
    <w:p w:rsidR="00FF1543" w:rsidRPr="00391BA3" w:rsidRDefault="00391BA3">
      <w:pPr>
        <w:spacing w:after="0"/>
        <w:rPr>
          <w:lang w:val="en-US"/>
        </w:rPr>
      </w:pPr>
      <w:r w:rsidRPr="00391BA3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391BA3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391BA3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391BA3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FF1543" w:rsidRPr="00391BA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1BA3">
      <w:pPr>
        <w:spacing w:after="0" w:line="240" w:lineRule="auto"/>
      </w:pPr>
      <w:r>
        <w:separator/>
      </w:r>
    </w:p>
  </w:endnote>
  <w:endnote w:type="continuationSeparator" w:id="0">
    <w:p w:rsidR="00000000" w:rsidRDefault="003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1BA3">
      <w:pPr>
        <w:spacing w:after="0" w:line="240" w:lineRule="auto"/>
      </w:pPr>
      <w:r>
        <w:separator/>
      </w:r>
    </w:p>
  </w:footnote>
  <w:footnote w:type="continuationSeparator" w:id="0">
    <w:p w:rsidR="00000000" w:rsidRDefault="0039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43" w:rsidRDefault="00391BA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543"/>
    <w:rsid w:val="00391BA3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08C894"/>
  <w15:docId w15:val="{A60F10C7-E265-4371-9628-2201208C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2017-10-04T08:41:00Z</dcterms:created>
  <dcterms:modified xsi:type="dcterms:W3CDTF">2017-10-04T11:43:00Z</dcterms:modified>
  <cp:category/>
</cp:coreProperties>
</file>