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47" w:rsidRDefault="00CF75C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#17-509</w:t>
      </w:r>
      <w:bookmarkStart w:id="0" w:name="_GoBack"/>
      <w:bookmarkEnd w:id="0"/>
    </w:p>
    <w:p w:rsidR="00C06047" w:rsidRDefault="00C06047">
      <w:pPr>
        <w:spacing w:after="0"/>
      </w:pPr>
    </w:p>
    <w:p w:rsidR="00C06047" w:rsidRDefault="00CF75CE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2017-06-02</w:t>
      </w:r>
    </w:p>
    <w:p w:rsidR="00C06047" w:rsidRDefault="00C06047">
      <w:pPr>
        <w:spacing w:after="0"/>
      </w:pPr>
    </w:p>
    <w:p w:rsidR="00C06047" w:rsidRDefault="00CF75CE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Knock out warrants issued by BNP Paribas Issuance B.V.</w:t>
      </w:r>
    </w:p>
    <w:p w:rsidR="00C06047" w:rsidRDefault="00C06047">
      <w:pPr>
        <w:spacing w:after="0"/>
      </w:pPr>
    </w:p>
    <w:p w:rsidR="00C06047" w:rsidRDefault="00CF75CE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June 05, 2017, 4 Knock out warrants issued by BNP Paribas Issuance B.V. will be listed on NDX Sweden and will be included on the list for Knock-Outs. The instruments will be registered at Euroclear Sweden AB.</w:t>
      </w:r>
    </w:p>
    <w:p w:rsidR="00C06047" w:rsidRDefault="00C06047">
      <w:pPr>
        <w:spacing w:after="0"/>
      </w:pPr>
    </w:p>
    <w:p w:rsidR="00C06047" w:rsidRDefault="00CF75CE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BNP Paribas Issuance B.V.</w:t>
      </w:r>
    </w:p>
    <w:p w:rsidR="00C06047" w:rsidRDefault="00CF75CE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</w:t>
      </w:r>
      <w:r>
        <w:rPr>
          <w:rFonts w:ascii="Baskerville MT" w:hAnsi="Baskerville MT" w:cs="Baskerville MT"/>
          <w:sz w:val="24"/>
          <w:szCs w:val="24"/>
        </w:rPr>
        <w:t xml:space="preserve"> of security: Knock out warrants, open ended</w:t>
      </w:r>
    </w:p>
    <w:p w:rsidR="00C06047" w:rsidRDefault="00CF75CE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C06047" w:rsidRDefault="00CF75CE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June 05, 2017 and forward or until time for knock out event</w:t>
      </w:r>
    </w:p>
    <w:p w:rsidR="00C06047" w:rsidRDefault="00CF75CE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C06047" w:rsidRDefault="00C06047">
      <w:pPr>
        <w:spacing w:after="0"/>
      </w:pPr>
    </w:p>
    <w:p w:rsidR="00C06047" w:rsidRDefault="00CF75C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C06047" w:rsidRDefault="00CF75CE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C06047" w:rsidRDefault="00CF75CE">
      <w:pPr>
        <w:spacing w:after="0"/>
      </w:pPr>
      <w:r>
        <w:rPr>
          <w:rFonts w:ascii="Baskerville MT" w:hAnsi="Baskerville MT" w:cs="Baskerville MT"/>
          <w:sz w:val="24"/>
          <w:szCs w:val="24"/>
        </w:rPr>
        <w:t>ICE Brent Crude Oil Futures</w:t>
      </w:r>
    </w:p>
    <w:p w:rsidR="00C06047" w:rsidRDefault="00C06047">
      <w:pPr>
        <w:spacing w:after="0"/>
      </w:pPr>
    </w:p>
    <w:p w:rsidR="00C06047" w:rsidRDefault="00CF75CE">
      <w:pPr>
        <w:spacing w:after="0"/>
      </w:pPr>
      <w:r>
        <w:rPr>
          <w:rFonts w:ascii="Baskerville MT" w:hAnsi="Baskerville MT" w:cs="Baskerville MT"/>
          <w:sz w:val="24"/>
          <w:szCs w:val="24"/>
        </w:rPr>
        <w:t>Curre</w:t>
      </w:r>
      <w:r>
        <w:rPr>
          <w:rFonts w:ascii="Baskerville MT" w:hAnsi="Baskerville MT" w:cs="Baskerville MT"/>
          <w:sz w:val="24"/>
          <w:szCs w:val="24"/>
        </w:rPr>
        <w:t xml:space="preserve">nt values of strike and barrier can be found at: </w:t>
      </w:r>
    </w:p>
    <w:p w:rsidR="00C06047" w:rsidRDefault="00CF75CE">
      <w:pPr>
        <w:spacing w:after="0"/>
      </w:pPr>
      <w:hyperlink r:id="rId8" w:history="1">
        <w:r>
          <w:rPr>
            <w:color w:val="0000FF"/>
            <w:u w:val="single"/>
          </w:rPr>
          <w:t>[ NGM Market Data Web - KnockOutWarrants ]</w:t>
        </w:r>
      </w:hyperlink>
    </w:p>
    <w:p w:rsidR="00C06047" w:rsidRDefault="00C06047">
      <w:pPr>
        <w:spacing w:after="0"/>
      </w:pPr>
    </w:p>
    <w:p w:rsidR="00C06047" w:rsidRDefault="00C06047">
      <w:pPr>
        <w:spacing w:after="0"/>
      </w:pPr>
    </w:p>
    <w:p w:rsidR="00C06047" w:rsidRDefault="00CF75C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C06047" w:rsidRDefault="00C06047">
      <w:pPr>
        <w:spacing w:after="0"/>
      </w:pPr>
    </w:p>
    <w:p w:rsidR="00C06047" w:rsidRDefault="00CF75CE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</w:t>
      </w:r>
      <w:r>
        <w:rPr>
          <w:rFonts w:ascii="Baskerville MT" w:hAnsi="Baskerville MT" w:cs="Baskerville MT"/>
          <w:sz w:val="22"/>
          <w:szCs w:val="22"/>
        </w:rPr>
        <w:t>rther information concerning this NDX notice please contact:</w:t>
      </w:r>
    </w:p>
    <w:p w:rsidR="00C06047" w:rsidRDefault="00CF75CE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C06047" w:rsidRDefault="00C06047">
      <w:pPr>
        <w:spacing w:after="0"/>
      </w:pPr>
    </w:p>
    <w:p w:rsidR="00C06047" w:rsidRDefault="00CF75CE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C06047" w:rsidRDefault="00C06047">
      <w:pPr>
        <w:spacing w:after="0"/>
      </w:pPr>
    </w:p>
    <w:p w:rsidR="00C06047" w:rsidRDefault="00C06047">
      <w:pPr>
        <w:spacing w:after="0"/>
      </w:pPr>
    </w:p>
    <w:p w:rsidR="00C06047" w:rsidRDefault="00C06047">
      <w:pPr>
        <w:spacing w:after="0"/>
      </w:pPr>
    </w:p>
    <w:p w:rsidR="00C06047" w:rsidRDefault="00CF75CE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C06047" w:rsidRDefault="00CF75CE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C06047" w:rsidRDefault="00C06047">
      <w:pPr>
        <w:spacing w:after="0"/>
      </w:pPr>
    </w:p>
    <w:p w:rsidR="00C06047" w:rsidRDefault="00CF75CE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C06047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75CE">
      <w:pPr>
        <w:spacing w:after="0" w:line="240" w:lineRule="auto"/>
      </w:pPr>
      <w:r>
        <w:separator/>
      </w:r>
    </w:p>
  </w:endnote>
  <w:endnote w:type="continuationSeparator" w:id="0">
    <w:p w:rsidR="00000000" w:rsidRDefault="00CF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75CE">
      <w:pPr>
        <w:spacing w:after="0" w:line="240" w:lineRule="auto"/>
      </w:pPr>
      <w:r>
        <w:separator/>
      </w:r>
    </w:p>
  </w:footnote>
  <w:footnote w:type="continuationSeparator" w:id="0">
    <w:p w:rsidR="00000000" w:rsidRDefault="00CF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047" w:rsidRDefault="00CF75C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047"/>
    <w:rsid w:val="00C06047"/>
    <w:rsid w:val="00C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2017-06-02T10:02:00Z</dcterms:created>
  <dcterms:modified xsi:type="dcterms:W3CDTF">2017-06-02T12:30:00Z</dcterms:modified>
  <cp:category/>
</cp:coreProperties>
</file>