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44DD" w:rsidRPr="0081242C" w:rsidRDefault="00F144DD" w:rsidP="000061D9">
      <w:pPr>
        <w:pStyle w:val="PressInformation"/>
        <w:rPr>
          <w:lang w:val="en-US"/>
        </w:rPr>
      </w:pPr>
    </w:p>
    <w:p w:rsidR="00F144DD" w:rsidRPr="00FB28A0" w:rsidRDefault="00F144DD" w:rsidP="002551E5">
      <w:pPr>
        <w:ind w:left="6120" w:right="-540"/>
        <w:outlineLvl w:val="0"/>
        <w:rPr>
          <w:rFonts w:ascii="Arial" w:hAnsi="Arial" w:cs="Arial"/>
          <w:sz w:val="20"/>
          <w:szCs w:val="20"/>
          <w:u w:val="single"/>
          <w:lang w:val="sv-SE"/>
        </w:rPr>
      </w:pPr>
      <w:r w:rsidRPr="00FB28A0">
        <w:rPr>
          <w:rFonts w:ascii="Arial" w:hAnsi="Arial" w:cs="Arial"/>
          <w:sz w:val="20"/>
          <w:szCs w:val="20"/>
          <w:u w:val="single"/>
          <w:lang w:val="sv-SE"/>
        </w:rPr>
        <w:t>Kontakt:</w:t>
      </w:r>
    </w:p>
    <w:p w:rsidR="00F144DD" w:rsidRPr="00FB28A0" w:rsidRDefault="00F144DD" w:rsidP="00B40F1D">
      <w:pPr>
        <w:ind w:left="6120" w:right="-694"/>
        <w:rPr>
          <w:rFonts w:ascii="Arial" w:hAnsi="Arial" w:cs="Arial"/>
          <w:sz w:val="20"/>
          <w:szCs w:val="20"/>
          <w:lang w:val="sv-SE"/>
        </w:rPr>
      </w:pPr>
      <w:r w:rsidRPr="00FB28A0">
        <w:rPr>
          <w:rFonts w:ascii="Arial" w:hAnsi="Arial" w:cs="Arial"/>
          <w:sz w:val="20"/>
          <w:szCs w:val="20"/>
          <w:lang w:val="sv-SE"/>
        </w:rPr>
        <w:t>Linda Brandelius</w:t>
      </w:r>
    </w:p>
    <w:p w:rsidR="00F144DD" w:rsidRPr="00FB28A0" w:rsidRDefault="00F144DD" w:rsidP="00B40F1D">
      <w:pPr>
        <w:ind w:left="6120" w:right="-694"/>
        <w:rPr>
          <w:rFonts w:ascii="Arial" w:hAnsi="Arial" w:cs="Arial"/>
          <w:sz w:val="20"/>
          <w:szCs w:val="20"/>
          <w:lang w:val="sv-SE"/>
        </w:rPr>
      </w:pPr>
      <w:r w:rsidRPr="00FB28A0">
        <w:rPr>
          <w:rFonts w:ascii="Arial" w:hAnsi="Arial" w:cs="Arial"/>
          <w:sz w:val="20"/>
          <w:szCs w:val="20"/>
          <w:lang w:val="sv-SE"/>
        </w:rPr>
        <w:t>Linda_Brandelius@goodyear.com</w:t>
      </w:r>
    </w:p>
    <w:p w:rsidR="00F144DD" w:rsidRPr="00FB28A0" w:rsidRDefault="00F144DD" w:rsidP="002551E5">
      <w:pPr>
        <w:outlineLvl w:val="0"/>
        <w:rPr>
          <w:rFonts w:ascii="Arial" w:hAnsi="Arial" w:cs="Arial"/>
          <w:b/>
          <w:sz w:val="32"/>
          <w:lang w:val="nb-NO"/>
        </w:rPr>
      </w:pPr>
      <w:r w:rsidRPr="00FB28A0">
        <w:rPr>
          <w:rFonts w:ascii="Arial" w:hAnsi="Arial" w:cs="Arial"/>
          <w:b/>
          <w:sz w:val="32"/>
          <w:lang w:val="nb-NO"/>
        </w:rPr>
        <w:t>Presseinformasjon</w:t>
      </w:r>
    </w:p>
    <w:p w:rsidR="00F144DD" w:rsidRPr="00FB28A0" w:rsidRDefault="00F144DD" w:rsidP="00B40F1D">
      <w:pPr>
        <w:rPr>
          <w:rFonts w:ascii="Arial" w:hAnsi="Arial" w:cs="Arial"/>
          <w:b/>
          <w:sz w:val="32"/>
          <w:lang w:val="nb-NO"/>
        </w:rPr>
      </w:pPr>
    </w:p>
    <w:p w:rsidR="00F144DD" w:rsidRPr="00FB28A0" w:rsidRDefault="00F144DD" w:rsidP="00667C77">
      <w:pPr>
        <w:pStyle w:val="Title"/>
        <w:spacing w:line="360" w:lineRule="auto"/>
        <w:ind w:right="-72"/>
        <w:rPr>
          <w:sz w:val="28"/>
          <w:lang w:val="nb-NO"/>
        </w:rPr>
      </w:pPr>
      <w:bookmarkStart w:id="0" w:name="OLE_LINK39"/>
      <w:r w:rsidRPr="00FB28A0">
        <w:rPr>
          <w:sz w:val="28"/>
          <w:lang w:val="nb-NO"/>
        </w:rPr>
        <w:t>Goodyear lanserer en ny generasjon dekk for regional</w:t>
      </w:r>
      <w:r>
        <w:rPr>
          <w:sz w:val="28"/>
          <w:lang w:val="nb-NO"/>
        </w:rPr>
        <w:t>transport</w:t>
      </w:r>
      <w:r w:rsidRPr="00FB28A0">
        <w:rPr>
          <w:sz w:val="28"/>
          <w:lang w:val="nb-NO"/>
        </w:rPr>
        <w:t xml:space="preserve"> for </w:t>
      </w: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6" type="#_x0000_t75" style="position:absolute;left:0;text-align:left;margin-left:306pt;margin-top:23.15pt;width:180pt;height:279.3pt;z-index:-251658240;visibility:visible;mso-position-horizontal-relative:text;mso-position-vertical-relative:line" wrapcoords="-90 0 -90 21542 21600 21542 21600 0 -90 0">
            <v:imagedata r:id="rId7" o:title=""/>
            <w10:wrap type="tight"/>
          </v:shape>
        </w:pict>
      </w:r>
      <w:r w:rsidRPr="00FB28A0">
        <w:rPr>
          <w:sz w:val="28"/>
          <w:lang w:val="nb-NO"/>
        </w:rPr>
        <w:t>lengre kjørelengde og større last.</w:t>
      </w:r>
    </w:p>
    <w:p w:rsidR="00F144DD" w:rsidRPr="00FB28A0" w:rsidRDefault="00F144DD" w:rsidP="00667C77">
      <w:pPr>
        <w:pStyle w:val="NormalWeb"/>
        <w:spacing w:before="0" w:beforeAutospacing="0" w:after="120" w:afterAutospacing="0" w:line="360" w:lineRule="auto"/>
        <w:ind w:right="-72"/>
        <w:jc w:val="both"/>
        <w:textAlignment w:val="baseline"/>
        <w:rPr>
          <w:rFonts w:ascii="Arial" w:hAnsi="Arial" w:cs="Arial"/>
          <w:kern w:val="24"/>
          <w:sz w:val="20"/>
          <w:szCs w:val="20"/>
          <w:lang w:val="nb-NO"/>
        </w:rPr>
      </w:pPr>
      <w:r w:rsidRPr="00FB28A0">
        <w:rPr>
          <w:rFonts w:ascii="Arial" w:hAnsi="Arial" w:cs="Arial"/>
          <w:kern w:val="24"/>
          <w:sz w:val="20"/>
          <w:szCs w:val="20"/>
          <w:lang w:val="nb-NO"/>
        </w:rPr>
        <w:t>Brussel, 27. september 2011 – Goodyear lanserer nå</w:t>
      </w:r>
      <w:r w:rsidRPr="00FB28A0">
        <w:rPr>
          <w:rFonts w:ascii="Arial" w:hAnsi="Arial" w:cs="Arial"/>
          <w:sz w:val="20"/>
          <w:szCs w:val="20"/>
          <w:lang w:val="nb-NO"/>
        </w:rPr>
        <w:t xml:space="preserve"> Regional RHT II, en helt ny </w:t>
      </w:r>
      <w:r w:rsidRPr="00FB28A0">
        <w:rPr>
          <w:rFonts w:ascii="Arial" w:hAnsi="Arial" w:cs="Arial"/>
          <w:color w:val="000000"/>
          <w:kern w:val="24"/>
          <w:sz w:val="20"/>
          <w:szCs w:val="20"/>
          <w:lang w:val="nb-NO"/>
        </w:rPr>
        <w:t>serie tilhengerdekk</w:t>
      </w:r>
      <w:r w:rsidRPr="00FB28A0">
        <w:rPr>
          <w:rFonts w:ascii="Arial" w:hAnsi="Arial" w:cs="Arial"/>
          <w:kern w:val="24"/>
          <w:sz w:val="20"/>
          <w:szCs w:val="20"/>
          <w:lang w:val="nb-NO"/>
        </w:rPr>
        <w:t>, h</w:t>
      </w:r>
      <w:r>
        <w:rPr>
          <w:rFonts w:ascii="Arial" w:hAnsi="Arial" w:cs="Arial"/>
          <w:kern w:val="24"/>
          <w:sz w:val="20"/>
          <w:szCs w:val="20"/>
          <w:lang w:val="nb-NO"/>
        </w:rPr>
        <w:t xml:space="preserve">ovedsakelig beregnet på </w:t>
      </w:r>
      <w:r w:rsidRPr="00FB28A0">
        <w:rPr>
          <w:rFonts w:ascii="Arial" w:hAnsi="Arial" w:cs="Arial"/>
          <w:kern w:val="24"/>
          <w:sz w:val="20"/>
          <w:szCs w:val="20"/>
          <w:lang w:val="nb-NO"/>
        </w:rPr>
        <w:t xml:space="preserve">kjøretøyer som brukes i regionaltransport. Regional RHT II-serien er først og fremst beregnet på 22,5-tommers felger, og gir forbedrede egenskaper </w:t>
      </w:r>
      <w:r>
        <w:rPr>
          <w:rFonts w:ascii="Arial" w:hAnsi="Arial" w:cs="Arial"/>
          <w:kern w:val="24"/>
          <w:sz w:val="20"/>
          <w:szCs w:val="20"/>
          <w:lang w:val="nb-NO"/>
        </w:rPr>
        <w:t>på</w:t>
      </w:r>
      <w:r w:rsidRPr="00FB28A0">
        <w:rPr>
          <w:rFonts w:ascii="Arial" w:hAnsi="Arial" w:cs="Arial"/>
          <w:kern w:val="24"/>
          <w:sz w:val="20"/>
          <w:szCs w:val="20"/>
          <w:lang w:val="nb-NO"/>
        </w:rPr>
        <w:t xml:space="preserve"> kjørelengde og rullemotstand sammenlignet med forgjengeren, Goodyear Regional RHT. Det betyr enda lavere kostnader per kilometer for operatøren. Betydelige forbedringer på kjørelengden, opptil 30 % bedre enn </w:t>
      </w:r>
      <w:r w:rsidRPr="00FB28A0">
        <w:rPr>
          <w:rFonts w:ascii="Arial" w:hAnsi="Arial" w:cs="Arial"/>
          <w:sz w:val="20"/>
          <w:szCs w:val="20"/>
          <w:lang w:val="nb-NO"/>
        </w:rPr>
        <w:t xml:space="preserve">Regional </w:t>
      </w:r>
      <w:r w:rsidRPr="00FB28A0">
        <w:rPr>
          <w:rFonts w:ascii="Arial" w:hAnsi="Arial" w:cs="Arial"/>
          <w:kern w:val="24"/>
          <w:sz w:val="20"/>
          <w:szCs w:val="20"/>
          <w:lang w:val="nb-NO"/>
        </w:rPr>
        <w:t>RHT, utmerket</w:t>
      </w:r>
      <w:r>
        <w:rPr>
          <w:rFonts w:ascii="Arial" w:hAnsi="Arial" w:cs="Arial"/>
          <w:kern w:val="24"/>
          <w:sz w:val="20"/>
          <w:szCs w:val="20"/>
          <w:lang w:val="nb-NO"/>
        </w:rPr>
        <w:t>e</w:t>
      </w:r>
      <w:r w:rsidRPr="00FB28A0">
        <w:rPr>
          <w:rFonts w:ascii="Arial" w:hAnsi="Arial" w:cs="Arial"/>
          <w:kern w:val="24"/>
          <w:sz w:val="20"/>
          <w:szCs w:val="20"/>
          <w:lang w:val="nb-NO"/>
        </w:rPr>
        <w:t xml:space="preserve"> vannplanings</w:t>
      </w:r>
      <w:r>
        <w:rPr>
          <w:rFonts w:ascii="Arial" w:hAnsi="Arial" w:cs="Arial"/>
          <w:kern w:val="24"/>
          <w:sz w:val="20"/>
          <w:szCs w:val="20"/>
          <w:lang w:val="nb-NO"/>
        </w:rPr>
        <w:t>egenskaper</w:t>
      </w:r>
      <w:r w:rsidRPr="00FB28A0">
        <w:rPr>
          <w:rFonts w:ascii="Arial" w:hAnsi="Arial" w:cs="Arial"/>
          <w:kern w:val="24"/>
          <w:sz w:val="20"/>
          <w:szCs w:val="20"/>
          <w:lang w:val="nb-NO"/>
        </w:rPr>
        <w:t xml:space="preserve"> og svært robust oppbygning er noen av de viktigste egenskapene som vil gjøre denne dekkserien attraktiv for operatørene. Regional RHT II-dekkene oppfyller det kommende EU-direktivet 661/2009 med gode nivåer for rullemotstand og støy. Den nye serien omfatter et høybelastningsdekk med en akselvektkapasitet på 10 tonn, og gir dermed både større lastekapasitet, god kjørelengde og god holdbarhet.</w:t>
      </w:r>
    </w:p>
    <w:p w:rsidR="00F144DD" w:rsidRPr="00FB28A0" w:rsidRDefault="00F144DD" w:rsidP="00367CB4">
      <w:pPr>
        <w:pStyle w:val="NormalWeb"/>
        <w:spacing w:before="0" w:beforeAutospacing="0" w:after="120" w:afterAutospacing="0" w:line="360" w:lineRule="auto"/>
        <w:jc w:val="both"/>
        <w:textAlignment w:val="baseline"/>
        <w:rPr>
          <w:rFonts w:ascii="Arial" w:hAnsi="Arial" w:cs="Arial"/>
          <w:kern w:val="24"/>
          <w:sz w:val="20"/>
          <w:szCs w:val="20"/>
          <w:lang w:val="nb-NO"/>
        </w:rPr>
      </w:pPr>
      <w:r>
        <w:rPr>
          <w:rFonts w:ascii="Arial" w:hAnsi="Arial" w:cs="Arial"/>
          <w:kern w:val="24"/>
          <w:sz w:val="20"/>
          <w:szCs w:val="20"/>
          <w:lang w:val="nb-NO"/>
        </w:rPr>
        <w:t xml:space="preserve">De viktigste </w:t>
      </w:r>
      <w:r w:rsidRPr="00FB28A0">
        <w:rPr>
          <w:rFonts w:ascii="Arial" w:hAnsi="Arial" w:cs="Arial"/>
          <w:kern w:val="24"/>
          <w:sz w:val="20"/>
          <w:szCs w:val="20"/>
          <w:lang w:val="nb-NO"/>
        </w:rPr>
        <w:t>egenskapene i Regional RHT II er en optimert, multiradial hulromsform, sterke skulderribber og sikksakkformede mønsterspor. Det gir jevn og optimal slitasje, motstand mot slitasje på skuldrene og robusthet ved manøvrering. Mønsterformen gir minimalt feste for stein og bedre bremseegenskaper på vått underlag.</w:t>
      </w:r>
    </w:p>
    <w:p w:rsidR="00F144DD" w:rsidRPr="00FB28A0" w:rsidRDefault="00F144DD" w:rsidP="00654DAC">
      <w:pPr>
        <w:spacing w:after="120" w:line="360" w:lineRule="auto"/>
        <w:jc w:val="both"/>
        <w:rPr>
          <w:rFonts w:ascii="Arial" w:hAnsi="Arial" w:cs="Arial"/>
          <w:kern w:val="24"/>
          <w:sz w:val="20"/>
          <w:szCs w:val="20"/>
          <w:lang w:val="nb-NO"/>
        </w:rPr>
      </w:pPr>
      <w:r w:rsidRPr="00FB28A0">
        <w:rPr>
          <w:rFonts w:ascii="Arial" w:hAnsi="Arial" w:cs="Arial"/>
          <w:kern w:val="24"/>
          <w:sz w:val="20"/>
          <w:szCs w:val="20"/>
          <w:lang w:val="nb-NO"/>
        </w:rPr>
        <w:t xml:space="preserve">Det høye potensialet for kjørelengde kommer av det nye slitebanematerialet og 15 % </w:t>
      </w:r>
      <w:r>
        <w:rPr>
          <w:rFonts w:ascii="Arial" w:hAnsi="Arial" w:cs="Arial"/>
          <w:kern w:val="24"/>
          <w:sz w:val="20"/>
          <w:szCs w:val="20"/>
          <w:lang w:val="nb-NO"/>
        </w:rPr>
        <w:t>mer gummi</w:t>
      </w:r>
      <w:r w:rsidRPr="00FB28A0">
        <w:rPr>
          <w:rFonts w:ascii="Arial" w:hAnsi="Arial" w:cs="Arial"/>
          <w:kern w:val="24"/>
          <w:sz w:val="20"/>
          <w:szCs w:val="20"/>
          <w:lang w:val="nb-NO"/>
        </w:rPr>
        <w:t xml:space="preserve"> å slite på. Slitebanen på Goodyear Regional RHT II er 10 mm bredere og 8 % dypere enn forgjengeren. </w:t>
      </w:r>
    </w:p>
    <w:p w:rsidR="00F144DD" w:rsidRPr="00FB28A0" w:rsidRDefault="00F144DD" w:rsidP="00654DAC">
      <w:pPr>
        <w:spacing w:after="120" w:line="360" w:lineRule="auto"/>
        <w:jc w:val="both"/>
        <w:rPr>
          <w:rFonts w:ascii="Arial" w:hAnsi="Arial" w:cs="Arial"/>
          <w:kern w:val="24"/>
          <w:sz w:val="20"/>
          <w:szCs w:val="20"/>
          <w:lang w:val="nb-NO" w:eastAsia="en-GB"/>
        </w:rPr>
      </w:pPr>
      <w:r w:rsidRPr="00FB28A0">
        <w:rPr>
          <w:rFonts w:ascii="Arial" w:hAnsi="Arial" w:cs="Arial"/>
          <w:kern w:val="24"/>
          <w:sz w:val="20"/>
          <w:szCs w:val="20"/>
          <w:lang w:val="nb-NO"/>
        </w:rPr>
        <w:t xml:space="preserve">De nye dekkene utnytter fordelene i Goodyears Max-teknologi og er laget med den nye KMax-teknologien. KMax-teknologien er en kombinasjon av spesialutviklede dekkegenskaper som er utviklet for å maksimere kjørelengden, gjøre dekkene anvendelige på en lang rekke bruksområder og gjør dekkstrukturen mer robust. </w:t>
      </w:r>
    </w:p>
    <w:p w:rsidR="00F144DD" w:rsidRPr="00FB28A0" w:rsidRDefault="00F144DD" w:rsidP="00654DAC">
      <w:pPr>
        <w:spacing w:after="120" w:line="360" w:lineRule="auto"/>
        <w:jc w:val="both"/>
        <w:rPr>
          <w:rFonts w:ascii="Arial" w:hAnsi="Arial" w:cs="Arial"/>
          <w:kern w:val="24"/>
          <w:sz w:val="20"/>
          <w:szCs w:val="20"/>
          <w:lang w:val="nb-NO" w:eastAsia="en-GB"/>
        </w:rPr>
      </w:pPr>
      <w:r w:rsidRPr="00FB28A0">
        <w:rPr>
          <w:rFonts w:ascii="Arial" w:hAnsi="Arial" w:cs="Arial"/>
          <w:kern w:val="24"/>
          <w:sz w:val="20"/>
          <w:szCs w:val="20"/>
          <w:lang w:val="nb-NO"/>
        </w:rPr>
        <w:t>Det er kjørt tester for å sammenligne de</w:t>
      </w:r>
      <w:r>
        <w:rPr>
          <w:rFonts w:ascii="Arial" w:hAnsi="Arial" w:cs="Arial"/>
          <w:kern w:val="24"/>
          <w:sz w:val="20"/>
          <w:szCs w:val="20"/>
          <w:lang w:val="nb-NO"/>
        </w:rPr>
        <w:t>t</w:t>
      </w:r>
      <w:r w:rsidRPr="00FB28A0">
        <w:rPr>
          <w:rFonts w:ascii="Arial" w:hAnsi="Arial" w:cs="Arial"/>
          <w:kern w:val="24"/>
          <w:sz w:val="20"/>
          <w:szCs w:val="20"/>
          <w:lang w:val="nb-NO"/>
        </w:rPr>
        <w:t xml:space="preserve"> nye </w:t>
      </w:r>
      <w:r>
        <w:rPr>
          <w:rFonts w:ascii="Arial" w:hAnsi="Arial" w:cs="Arial"/>
          <w:kern w:val="24"/>
          <w:sz w:val="20"/>
          <w:szCs w:val="20"/>
          <w:lang w:val="nb-NO"/>
        </w:rPr>
        <w:t>Regional RHT II-tilhengerdekket</w:t>
      </w:r>
      <w:r w:rsidRPr="00FB28A0">
        <w:rPr>
          <w:rFonts w:ascii="Arial" w:hAnsi="Arial" w:cs="Arial"/>
          <w:kern w:val="24"/>
          <w:sz w:val="20"/>
          <w:szCs w:val="20"/>
          <w:lang w:val="nb-NO"/>
        </w:rPr>
        <w:t xml:space="preserve"> med Regional RHT, som de</w:t>
      </w:r>
      <w:r>
        <w:rPr>
          <w:rFonts w:ascii="Arial" w:hAnsi="Arial" w:cs="Arial"/>
          <w:kern w:val="24"/>
          <w:sz w:val="20"/>
          <w:szCs w:val="20"/>
          <w:lang w:val="nb-NO"/>
        </w:rPr>
        <w:t>t</w:t>
      </w:r>
      <w:r w:rsidRPr="00FB28A0">
        <w:rPr>
          <w:rFonts w:ascii="Arial" w:hAnsi="Arial" w:cs="Arial"/>
          <w:kern w:val="24"/>
          <w:sz w:val="20"/>
          <w:szCs w:val="20"/>
          <w:lang w:val="nb-NO"/>
        </w:rPr>
        <w:t xml:space="preserve"> nå erstatter, og en av hovedkonkurrentene. Transportselskapet Penyafort fra Barcelona deltok i en av testene med en treakslet Spitzer pulvertanker. Testene ble kjørt mellom oktober 2009 og mars 2011.</w:t>
      </w:r>
    </w:p>
    <w:p w:rsidR="00F144DD" w:rsidRPr="00FB28A0" w:rsidRDefault="00F144DD" w:rsidP="00654DAC">
      <w:pPr>
        <w:spacing w:after="120" w:line="360" w:lineRule="auto"/>
        <w:jc w:val="both"/>
        <w:rPr>
          <w:rFonts w:ascii="Arial" w:hAnsi="Arial" w:cs="Arial"/>
          <w:kern w:val="24"/>
          <w:sz w:val="20"/>
          <w:szCs w:val="20"/>
          <w:lang w:val="nb-NO" w:eastAsia="en-GB"/>
        </w:rPr>
      </w:pPr>
      <w:r w:rsidRPr="00FB28A0">
        <w:rPr>
          <w:rFonts w:ascii="Arial" w:hAnsi="Arial" w:cs="Arial"/>
          <w:kern w:val="24"/>
          <w:sz w:val="20"/>
          <w:szCs w:val="20"/>
          <w:lang w:val="nb-NO"/>
        </w:rPr>
        <w:t>For å oppsum</w:t>
      </w:r>
      <w:r>
        <w:rPr>
          <w:rFonts w:ascii="Arial" w:hAnsi="Arial" w:cs="Arial"/>
          <w:kern w:val="24"/>
          <w:sz w:val="20"/>
          <w:szCs w:val="20"/>
          <w:lang w:val="nb-NO"/>
        </w:rPr>
        <w:t>mere sammenligningen av dekket egenskap</w:t>
      </w:r>
      <w:r w:rsidRPr="00FB28A0">
        <w:rPr>
          <w:rFonts w:ascii="Arial" w:hAnsi="Arial" w:cs="Arial"/>
          <w:kern w:val="24"/>
          <w:sz w:val="20"/>
          <w:szCs w:val="20"/>
          <w:lang w:val="nb-NO"/>
        </w:rPr>
        <w:t>, som vist i diagrammet nedenfor, gir Regional RHT II utmerket kjørelengde og forbedret slitepot</w:t>
      </w:r>
      <w:r>
        <w:rPr>
          <w:rFonts w:ascii="Arial" w:hAnsi="Arial" w:cs="Arial"/>
          <w:kern w:val="24"/>
          <w:sz w:val="20"/>
          <w:szCs w:val="20"/>
          <w:lang w:val="nb-NO"/>
        </w:rPr>
        <w:t>ensiale, lavere rullemotstand mot vår</w:t>
      </w:r>
      <w:r w:rsidRPr="00FB28A0">
        <w:rPr>
          <w:rFonts w:ascii="Arial" w:hAnsi="Arial" w:cs="Arial"/>
          <w:kern w:val="24"/>
          <w:sz w:val="20"/>
          <w:szCs w:val="20"/>
          <w:lang w:val="nb-NO"/>
        </w:rPr>
        <w:t xml:space="preserve"> hovedkonkurrent, forbedrede bremseegenskaper på vått underlag og et lavt støynivå på bare 71 dB(A).</w:t>
      </w:r>
    </w:p>
    <w:tbl>
      <w:tblPr>
        <w:tblW w:w="7420" w:type="dxa"/>
        <w:jc w:val="center"/>
        <w:tblCellMar>
          <w:left w:w="0" w:type="dxa"/>
          <w:right w:w="0" w:type="dxa"/>
        </w:tblCellMar>
        <w:tblLook w:val="0000"/>
      </w:tblPr>
      <w:tblGrid>
        <w:gridCol w:w="2831"/>
        <w:gridCol w:w="1356"/>
        <w:gridCol w:w="1475"/>
        <w:gridCol w:w="1758"/>
      </w:tblGrid>
      <w:tr w:rsidR="00F144DD" w:rsidRPr="0081242C" w:rsidTr="00E937A0">
        <w:trPr>
          <w:trHeight w:val="327"/>
          <w:jc w:val="center"/>
        </w:trPr>
        <w:tc>
          <w:tcPr>
            <w:tcW w:w="2831"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43" w:lineRule="atLeast"/>
              <w:jc w:val="center"/>
              <w:textAlignment w:val="baseline"/>
              <w:rPr>
                <w:rFonts w:ascii="Arial" w:hAnsi="Arial" w:cs="Arial"/>
                <w:sz w:val="20"/>
                <w:szCs w:val="20"/>
                <w:lang w:val="en-US"/>
              </w:rPr>
            </w:pPr>
            <w:r>
              <w:rPr>
                <w:rFonts w:ascii="Arial" w:hAnsi="Arial" w:cs="Arial"/>
                <w:b/>
                <w:bCs/>
                <w:kern w:val="24"/>
                <w:sz w:val="20"/>
                <w:szCs w:val="20"/>
              </w:rPr>
              <w:t>Test</w:t>
            </w:r>
          </w:p>
        </w:tc>
        <w:tc>
          <w:tcPr>
            <w:tcW w:w="1356"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43" w:lineRule="atLeast"/>
              <w:jc w:val="center"/>
              <w:textAlignment w:val="baseline"/>
              <w:rPr>
                <w:rFonts w:ascii="Arial" w:hAnsi="Arial" w:cs="Arial"/>
                <w:sz w:val="20"/>
                <w:szCs w:val="20"/>
                <w:lang w:val="en-US"/>
              </w:rPr>
            </w:pPr>
            <w:r>
              <w:rPr>
                <w:rFonts w:ascii="Arial" w:hAnsi="Arial" w:cs="Arial"/>
                <w:b/>
                <w:bCs/>
                <w:kern w:val="24"/>
                <w:sz w:val="20"/>
                <w:szCs w:val="20"/>
              </w:rPr>
              <w:t>RHT</w:t>
            </w:r>
          </w:p>
        </w:tc>
        <w:tc>
          <w:tcPr>
            <w:tcW w:w="1475"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43" w:lineRule="atLeast"/>
              <w:jc w:val="center"/>
              <w:textAlignment w:val="baseline"/>
              <w:rPr>
                <w:rFonts w:ascii="Arial" w:hAnsi="Arial" w:cs="Arial"/>
                <w:sz w:val="20"/>
                <w:szCs w:val="20"/>
                <w:lang w:val="en-US"/>
              </w:rPr>
            </w:pPr>
            <w:r>
              <w:rPr>
                <w:rFonts w:ascii="Arial" w:hAnsi="Arial" w:cs="Arial"/>
                <w:b/>
                <w:bCs/>
                <w:kern w:val="24"/>
                <w:sz w:val="20"/>
                <w:szCs w:val="20"/>
              </w:rPr>
              <w:t>RHT II</w:t>
            </w:r>
          </w:p>
        </w:tc>
        <w:tc>
          <w:tcPr>
            <w:tcW w:w="1758"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43" w:lineRule="atLeast"/>
              <w:jc w:val="center"/>
              <w:textAlignment w:val="baseline"/>
              <w:rPr>
                <w:rFonts w:ascii="Arial" w:hAnsi="Arial" w:cs="Arial"/>
                <w:sz w:val="20"/>
                <w:szCs w:val="20"/>
                <w:lang w:val="en-US"/>
              </w:rPr>
            </w:pPr>
            <w:r>
              <w:rPr>
                <w:rFonts w:ascii="Arial" w:hAnsi="Arial" w:cs="Arial"/>
                <w:b/>
                <w:bCs/>
                <w:kern w:val="24"/>
                <w:sz w:val="20"/>
                <w:szCs w:val="20"/>
              </w:rPr>
              <w:t>Konkurrent</w:t>
            </w:r>
          </w:p>
        </w:tc>
      </w:tr>
      <w:tr w:rsidR="00F144DD" w:rsidRPr="0081242C" w:rsidTr="00E937A0">
        <w:trPr>
          <w:trHeight w:val="340"/>
          <w:jc w:val="center"/>
        </w:trPr>
        <w:tc>
          <w:tcPr>
            <w:tcW w:w="2831"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40" w:lineRule="atLeast"/>
              <w:jc w:val="center"/>
              <w:textAlignment w:val="baseline"/>
              <w:rPr>
                <w:rFonts w:ascii="Arial" w:hAnsi="Arial" w:cs="Arial"/>
                <w:sz w:val="20"/>
                <w:szCs w:val="20"/>
                <w:lang w:val="en-US"/>
              </w:rPr>
            </w:pPr>
            <w:r>
              <w:rPr>
                <w:rFonts w:ascii="Arial" w:hAnsi="Arial" w:cs="Arial"/>
                <w:b/>
                <w:bCs/>
                <w:kern w:val="24"/>
                <w:sz w:val="20"/>
                <w:szCs w:val="20"/>
              </w:rPr>
              <w:t>Potensiell kjørelengde*</w:t>
            </w:r>
          </w:p>
        </w:tc>
        <w:tc>
          <w:tcPr>
            <w:tcW w:w="13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40" w:lineRule="atLeast"/>
              <w:jc w:val="center"/>
              <w:textAlignment w:val="baseline"/>
              <w:rPr>
                <w:rFonts w:ascii="Arial" w:hAnsi="Arial" w:cs="Arial"/>
                <w:sz w:val="20"/>
                <w:szCs w:val="20"/>
                <w:lang w:val="en-US"/>
              </w:rPr>
            </w:pPr>
            <w:r>
              <w:rPr>
                <w:rFonts w:ascii="Arial" w:hAnsi="Arial" w:cs="Arial"/>
                <w:b/>
                <w:bCs/>
                <w:kern w:val="24"/>
                <w:sz w:val="20"/>
                <w:szCs w:val="20"/>
              </w:rPr>
              <w:t>100</w:t>
            </w:r>
          </w:p>
        </w:tc>
        <w:tc>
          <w:tcPr>
            <w:tcW w:w="1475" w:type="dxa"/>
            <w:tcBorders>
              <w:top w:val="single" w:sz="8" w:space="0" w:color="000000"/>
              <w:left w:val="single" w:sz="8" w:space="0" w:color="000000"/>
              <w:bottom w:val="single" w:sz="8" w:space="0" w:color="000000"/>
              <w:right w:val="single" w:sz="8" w:space="0" w:color="000000"/>
            </w:tcBorders>
            <w:shd w:val="clear" w:color="auto" w:fill="00CC00"/>
            <w:tcMar>
              <w:top w:w="72" w:type="dxa"/>
              <w:left w:w="144" w:type="dxa"/>
              <w:bottom w:w="72" w:type="dxa"/>
              <w:right w:w="144" w:type="dxa"/>
            </w:tcMar>
          </w:tcPr>
          <w:p w:rsidR="00F144DD" w:rsidRPr="0081242C" w:rsidRDefault="00F144DD" w:rsidP="00DE6C1C">
            <w:pPr>
              <w:pStyle w:val="NormalWeb"/>
              <w:spacing w:before="58" w:beforeAutospacing="0" w:after="0" w:afterAutospacing="0" w:line="340" w:lineRule="atLeast"/>
              <w:jc w:val="center"/>
              <w:textAlignment w:val="baseline"/>
              <w:rPr>
                <w:rFonts w:ascii="Arial" w:hAnsi="Arial" w:cs="Arial"/>
                <w:sz w:val="20"/>
                <w:szCs w:val="20"/>
                <w:lang w:val="en-US"/>
              </w:rPr>
            </w:pPr>
            <w:r>
              <w:rPr>
                <w:rFonts w:ascii="Arial" w:hAnsi="Arial" w:cs="Arial"/>
                <w:b/>
                <w:bCs/>
                <w:kern w:val="24"/>
                <w:sz w:val="20"/>
                <w:szCs w:val="20"/>
              </w:rPr>
              <w:t>130</w:t>
            </w:r>
          </w:p>
        </w:tc>
        <w:tc>
          <w:tcPr>
            <w:tcW w:w="1758"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40" w:lineRule="atLeast"/>
              <w:jc w:val="center"/>
              <w:textAlignment w:val="baseline"/>
              <w:rPr>
                <w:rFonts w:ascii="Arial" w:hAnsi="Arial" w:cs="Arial"/>
                <w:sz w:val="20"/>
                <w:szCs w:val="20"/>
                <w:lang w:val="en-US"/>
              </w:rPr>
            </w:pPr>
            <w:r>
              <w:rPr>
                <w:rFonts w:ascii="Arial" w:hAnsi="Arial" w:cs="Arial"/>
                <w:b/>
                <w:bCs/>
                <w:kern w:val="24"/>
                <w:sz w:val="20"/>
                <w:szCs w:val="20"/>
              </w:rPr>
              <w:t>115</w:t>
            </w:r>
          </w:p>
        </w:tc>
      </w:tr>
      <w:tr w:rsidR="00F144DD" w:rsidRPr="0081242C" w:rsidTr="00E937A0">
        <w:trPr>
          <w:trHeight w:val="325"/>
          <w:jc w:val="center"/>
        </w:trPr>
        <w:tc>
          <w:tcPr>
            <w:tcW w:w="2831"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Rullemotstand**</w:t>
            </w:r>
          </w:p>
        </w:tc>
        <w:tc>
          <w:tcPr>
            <w:tcW w:w="13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100</w:t>
            </w:r>
          </w:p>
        </w:tc>
        <w:tc>
          <w:tcPr>
            <w:tcW w:w="1475" w:type="dxa"/>
            <w:tcBorders>
              <w:top w:val="single" w:sz="8" w:space="0" w:color="000000"/>
              <w:left w:val="single" w:sz="8" w:space="0" w:color="000000"/>
              <w:bottom w:val="single" w:sz="8" w:space="0" w:color="000000"/>
              <w:right w:val="single" w:sz="8" w:space="0" w:color="000000"/>
            </w:tcBorders>
            <w:shd w:val="clear" w:color="auto" w:fill="00CC00"/>
            <w:tcMar>
              <w:top w:w="72" w:type="dxa"/>
              <w:left w:w="144" w:type="dxa"/>
              <w:bottom w:w="72" w:type="dxa"/>
              <w:right w:w="144" w:type="dxa"/>
            </w:tcMar>
          </w:tcPr>
          <w:p w:rsidR="00F144DD" w:rsidRPr="0081242C" w:rsidRDefault="00F144DD" w:rsidP="00DE6C1C">
            <w:pPr>
              <w:pStyle w:val="NormalWeb"/>
              <w:spacing w:before="58"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110</w:t>
            </w:r>
          </w:p>
        </w:tc>
        <w:tc>
          <w:tcPr>
            <w:tcW w:w="1758"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99</w:t>
            </w:r>
          </w:p>
        </w:tc>
      </w:tr>
      <w:tr w:rsidR="00F144DD" w:rsidRPr="0081242C" w:rsidTr="00E937A0">
        <w:trPr>
          <w:trHeight w:val="321"/>
          <w:jc w:val="center"/>
        </w:trPr>
        <w:tc>
          <w:tcPr>
            <w:tcW w:w="2831"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F144DD" w:rsidRPr="00FB28A0" w:rsidRDefault="00F144DD" w:rsidP="00DE6C1C">
            <w:pPr>
              <w:pStyle w:val="NormalWeb"/>
              <w:spacing w:before="58" w:beforeAutospacing="0" w:after="0" w:afterAutospacing="0" w:line="336" w:lineRule="auto"/>
              <w:jc w:val="center"/>
              <w:textAlignment w:val="baseline"/>
              <w:rPr>
                <w:rFonts w:ascii="Arial" w:hAnsi="Arial" w:cs="Arial"/>
                <w:sz w:val="20"/>
                <w:szCs w:val="20"/>
                <w:lang w:val="nb-NO"/>
              </w:rPr>
            </w:pPr>
            <w:r w:rsidRPr="00FB28A0">
              <w:rPr>
                <w:rFonts w:ascii="Arial" w:hAnsi="Arial" w:cs="Arial"/>
                <w:b/>
                <w:bCs/>
                <w:kern w:val="24"/>
                <w:sz w:val="20"/>
                <w:szCs w:val="20"/>
                <w:lang w:val="nb-NO"/>
              </w:rPr>
              <w:t>Indeks for veigrep på vått underlag**</w:t>
            </w:r>
          </w:p>
        </w:tc>
        <w:tc>
          <w:tcPr>
            <w:tcW w:w="13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100</w:t>
            </w:r>
          </w:p>
        </w:tc>
        <w:tc>
          <w:tcPr>
            <w:tcW w:w="1475" w:type="dxa"/>
            <w:tcBorders>
              <w:top w:val="single" w:sz="8" w:space="0" w:color="000000"/>
              <w:left w:val="single" w:sz="8" w:space="0" w:color="000000"/>
              <w:bottom w:val="single" w:sz="8" w:space="0" w:color="000000"/>
              <w:right w:val="single" w:sz="8" w:space="0" w:color="000000"/>
            </w:tcBorders>
            <w:shd w:val="clear" w:color="auto" w:fill="00CC00"/>
            <w:tcMar>
              <w:top w:w="72" w:type="dxa"/>
              <w:left w:w="144" w:type="dxa"/>
              <w:bottom w:w="72" w:type="dxa"/>
              <w:right w:w="144" w:type="dxa"/>
            </w:tcMar>
          </w:tcPr>
          <w:p w:rsidR="00F144DD" w:rsidRPr="0081242C" w:rsidRDefault="00F144DD" w:rsidP="00DE6C1C">
            <w:pPr>
              <w:pStyle w:val="NormalWeb"/>
              <w:spacing w:before="58"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100</w:t>
            </w:r>
          </w:p>
        </w:tc>
        <w:tc>
          <w:tcPr>
            <w:tcW w:w="1758"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100</w:t>
            </w:r>
          </w:p>
        </w:tc>
      </w:tr>
      <w:tr w:rsidR="00F144DD" w:rsidRPr="0081242C" w:rsidTr="00E937A0">
        <w:trPr>
          <w:trHeight w:val="331"/>
          <w:jc w:val="center"/>
        </w:trPr>
        <w:tc>
          <w:tcPr>
            <w:tcW w:w="2831"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Bremsing på vått underlag**</w:t>
            </w:r>
          </w:p>
        </w:tc>
        <w:tc>
          <w:tcPr>
            <w:tcW w:w="1356"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100</w:t>
            </w:r>
          </w:p>
        </w:tc>
        <w:tc>
          <w:tcPr>
            <w:tcW w:w="1475" w:type="dxa"/>
            <w:tcBorders>
              <w:top w:val="single" w:sz="8" w:space="0" w:color="000000"/>
              <w:left w:val="single" w:sz="8" w:space="0" w:color="000000"/>
              <w:bottom w:val="single" w:sz="18" w:space="0" w:color="000000"/>
              <w:right w:val="single" w:sz="8" w:space="0" w:color="000000"/>
            </w:tcBorders>
            <w:shd w:val="clear" w:color="auto" w:fill="00CC00"/>
            <w:tcMar>
              <w:top w:w="72" w:type="dxa"/>
              <w:left w:w="144" w:type="dxa"/>
              <w:bottom w:w="72" w:type="dxa"/>
              <w:right w:w="144" w:type="dxa"/>
            </w:tcMar>
          </w:tcPr>
          <w:p w:rsidR="00F144DD" w:rsidRPr="0081242C" w:rsidRDefault="00F144DD" w:rsidP="00DE6C1C">
            <w:pPr>
              <w:pStyle w:val="NormalWeb"/>
              <w:spacing w:before="58"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102</w:t>
            </w:r>
          </w:p>
        </w:tc>
        <w:tc>
          <w:tcPr>
            <w:tcW w:w="1758"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tcPr>
          <w:p w:rsidR="00F144DD" w:rsidRPr="0081242C" w:rsidRDefault="00F144DD" w:rsidP="00DE6C1C">
            <w:pPr>
              <w:pStyle w:val="NormalWeb"/>
              <w:spacing w:before="58"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90</w:t>
            </w:r>
          </w:p>
        </w:tc>
      </w:tr>
    </w:tbl>
    <w:p w:rsidR="00F144DD" w:rsidRPr="0081242C" w:rsidRDefault="00F144DD" w:rsidP="00656A78">
      <w:pPr>
        <w:spacing w:after="120" w:line="360" w:lineRule="auto"/>
        <w:jc w:val="both"/>
        <w:rPr>
          <w:rFonts w:ascii="Arial" w:hAnsi="Arial" w:cs="Arial"/>
          <w:kern w:val="24"/>
          <w:sz w:val="20"/>
          <w:szCs w:val="20"/>
          <w:lang w:val="en-US" w:eastAsia="en-GB"/>
        </w:rPr>
      </w:pPr>
      <w:r>
        <w:rPr>
          <w:noProof/>
          <w:lang w:val="en-US"/>
        </w:rPr>
        <w:pict>
          <v:shape id="Picture 2" o:spid="_x0000_s1027" type="#_x0000_t75" style="position:absolute;left:0;text-align:left;margin-left:72.75pt;margin-top:15.85pt;width:322.2pt;height:209pt;z-index:251657216;visibility:visible;mso-position-horizontal-relative:text;mso-position-vertical-relative:text">
            <v:imagedata r:id="rId8" o:title=""/>
            <w10:wrap type="square"/>
          </v:shape>
        </w:pict>
      </w:r>
    </w:p>
    <w:p w:rsidR="00F144DD" w:rsidRPr="0081242C" w:rsidRDefault="00F144DD" w:rsidP="00656A78">
      <w:pPr>
        <w:spacing w:after="120" w:line="360" w:lineRule="auto"/>
        <w:jc w:val="both"/>
        <w:rPr>
          <w:rFonts w:ascii="Arial" w:hAnsi="Arial" w:cs="Arial"/>
          <w:kern w:val="24"/>
          <w:sz w:val="20"/>
          <w:szCs w:val="20"/>
          <w:lang w:val="en-US" w:eastAsia="en-GB"/>
        </w:rPr>
      </w:pPr>
    </w:p>
    <w:p w:rsidR="00F144DD" w:rsidRPr="0081242C" w:rsidRDefault="00F144DD" w:rsidP="00656A78">
      <w:pPr>
        <w:spacing w:after="120" w:line="360" w:lineRule="auto"/>
        <w:jc w:val="both"/>
        <w:rPr>
          <w:rFonts w:ascii="Arial" w:hAnsi="Arial" w:cs="Arial"/>
          <w:kern w:val="24"/>
          <w:sz w:val="20"/>
          <w:szCs w:val="20"/>
          <w:lang w:val="en-US" w:eastAsia="en-GB"/>
        </w:rPr>
      </w:pPr>
    </w:p>
    <w:p w:rsidR="00F144DD" w:rsidRPr="0081242C" w:rsidRDefault="00F144DD" w:rsidP="00656A78">
      <w:pPr>
        <w:spacing w:after="120" w:line="360" w:lineRule="auto"/>
        <w:jc w:val="both"/>
        <w:rPr>
          <w:rFonts w:ascii="Arial" w:hAnsi="Arial" w:cs="Arial"/>
          <w:kern w:val="24"/>
          <w:sz w:val="20"/>
          <w:szCs w:val="20"/>
          <w:lang w:val="en-US" w:eastAsia="en-GB"/>
        </w:rPr>
      </w:pPr>
    </w:p>
    <w:p w:rsidR="00F144DD" w:rsidRPr="0081242C" w:rsidRDefault="00F144DD" w:rsidP="00656A78">
      <w:pPr>
        <w:spacing w:after="120" w:line="360" w:lineRule="auto"/>
        <w:jc w:val="both"/>
        <w:rPr>
          <w:rFonts w:ascii="Arial" w:hAnsi="Arial" w:cs="Arial"/>
          <w:kern w:val="24"/>
          <w:sz w:val="20"/>
          <w:szCs w:val="20"/>
          <w:lang w:val="en-US" w:eastAsia="en-GB"/>
        </w:rPr>
      </w:pPr>
    </w:p>
    <w:p w:rsidR="00F144DD" w:rsidRPr="0081242C" w:rsidRDefault="00F144DD" w:rsidP="00656A78">
      <w:pPr>
        <w:spacing w:after="120" w:line="360" w:lineRule="auto"/>
        <w:jc w:val="both"/>
        <w:rPr>
          <w:rFonts w:ascii="Arial" w:hAnsi="Arial" w:cs="Arial"/>
          <w:kern w:val="24"/>
          <w:sz w:val="20"/>
          <w:szCs w:val="20"/>
          <w:lang w:val="en-US" w:eastAsia="en-GB"/>
        </w:rPr>
      </w:pPr>
    </w:p>
    <w:p w:rsidR="00F144DD" w:rsidRPr="0081242C" w:rsidRDefault="00F144DD" w:rsidP="00656A78">
      <w:pPr>
        <w:spacing w:after="120" w:line="360" w:lineRule="auto"/>
        <w:jc w:val="both"/>
        <w:rPr>
          <w:rFonts w:ascii="Arial" w:hAnsi="Arial" w:cs="Arial"/>
          <w:kern w:val="24"/>
          <w:sz w:val="20"/>
          <w:szCs w:val="20"/>
          <w:lang w:val="en-US" w:eastAsia="en-GB"/>
        </w:rPr>
      </w:pPr>
    </w:p>
    <w:p w:rsidR="00F144DD" w:rsidRPr="0081242C" w:rsidRDefault="00F144DD" w:rsidP="00656A78">
      <w:pPr>
        <w:spacing w:after="120" w:line="360" w:lineRule="auto"/>
        <w:jc w:val="both"/>
        <w:rPr>
          <w:rFonts w:ascii="Arial" w:hAnsi="Arial" w:cs="Arial"/>
          <w:kern w:val="24"/>
          <w:sz w:val="20"/>
          <w:szCs w:val="20"/>
          <w:lang w:val="en-US" w:eastAsia="en-GB"/>
        </w:rPr>
      </w:pPr>
    </w:p>
    <w:p w:rsidR="00F144DD" w:rsidRPr="0081242C" w:rsidRDefault="00F144DD" w:rsidP="00656A78">
      <w:pPr>
        <w:spacing w:after="120" w:line="360" w:lineRule="auto"/>
        <w:jc w:val="both"/>
        <w:rPr>
          <w:rFonts w:ascii="Arial" w:hAnsi="Arial" w:cs="Arial"/>
          <w:kern w:val="24"/>
          <w:sz w:val="20"/>
          <w:szCs w:val="20"/>
          <w:lang w:val="en-US" w:eastAsia="en-GB"/>
        </w:rPr>
      </w:pPr>
    </w:p>
    <w:p w:rsidR="00F144DD" w:rsidRPr="0081242C" w:rsidRDefault="00F144DD" w:rsidP="00656A78">
      <w:pPr>
        <w:spacing w:after="120" w:line="360" w:lineRule="auto"/>
        <w:jc w:val="both"/>
        <w:rPr>
          <w:rFonts w:ascii="Arial" w:hAnsi="Arial" w:cs="Arial"/>
          <w:kern w:val="24"/>
          <w:sz w:val="20"/>
          <w:szCs w:val="20"/>
          <w:lang w:val="en-US" w:eastAsia="en-GB"/>
        </w:rPr>
      </w:pPr>
    </w:p>
    <w:p w:rsidR="00F144DD" w:rsidRPr="00FB28A0" w:rsidRDefault="00F144DD" w:rsidP="00D63EA5">
      <w:pPr>
        <w:spacing w:after="120" w:line="360" w:lineRule="auto"/>
        <w:jc w:val="center"/>
        <w:rPr>
          <w:rFonts w:ascii="Arial" w:hAnsi="Arial" w:cs="Arial"/>
          <w:kern w:val="24"/>
          <w:sz w:val="20"/>
          <w:szCs w:val="20"/>
          <w:lang w:val="nb-NO" w:eastAsia="en-GB"/>
        </w:rPr>
      </w:pPr>
      <w:r w:rsidRPr="00FB28A0">
        <w:rPr>
          <w:rFonts w:ascii="Arial" w:hAnsi="Arial" w:cs="Arial"/>
          <w:kern w:val="24"/>
          <w:sz w:val="20"/>
          <w:szCs w:val="20"/>
          <w:lang w:val="nb-NO"/>
        </w:rPr>
        <w:t>** Jo høyere tall i denne grafen, jo bedre egenskaper på det aktuelle området.</w:t>
      </w:r>
    </w:p>
    <w:p w:rsidR="00F144DD" w:rsidRPr="00FB28A0" w:rsidRDefault="00F144DD" w:rsidP="002E2896">
      <w:pPr>
        <w:pStyle w:val="NormalWeb"/>
        <w:spacing w:before="144" w:beforeAutospacing="0" w:after="0" w:afterAutospacing="0"/>
        <w:textAlignment w:val="baseline"/>
        <w:rPr>
          <w:sz w:val="20"/>
          <w:szCs w:val="20"/>
          <w:lang w:val="nb-NO"/>
        </w:rPr>
      </w:pPr>
      <w:r w:rsidRPr="00FB28A0">
        <w:rPr>
          <w:rFonts w:ascii="Arial" w:hAnsi="Arial"/>
          <w:i/>
          <w:iCs/>
          <w:color w:val="000000"/>
          <w:kern w:val="24"/>
          <w:lang w:val="nb-NO"/>
        </w:rPr>
        <w:t xml:space="preserve">* </w:t>
      </w:r>
      <w:r w:rsidRPr="00FB28A0">
        <w:rPr>
          <w:rFonts w:ascii="Arial" w:hAnsi="Arial"/>
          <w:i/>
          <w:iCs/>
          <w:color w:val="000000"/>
          <w:kern w:val="24"/>
          <w:sz w:val="20"/>
          <w:szCs w:val="20"/>
          <w:lang w:val="nb-NO"/>
        </w:rPr>
        <w:t>Gjennomsnittlig kjørelengde målt på kjøretøyene til Penyafort i Spania og Transports Coing i Frankrike i 2009 til 2011 med dekkdimensjon 435/50R19.5.</w:t>
      </w:r>
    </w:p>
    <w:p w:rsidR="00F144DD" w:rsidRPr="00FB28A0" w:rsidRDefault="00F144DD" w:rsidP="002E2896">
      <w:pPr>
        <w:pStyle w:val="NormalWeb"/>
        <w:spacing w:before="144" w:beforeAutospacing="0" w:after="0" w:afterAutospacing="0"/>
        <w:textAlignment w:val="baseline"/>
        <w:rPr>
          <w:sz w:val="20"/>
          <w:szCs w:val="20"/>
          <w:lang w:val="nb-NO"/>
        </w:rPr>
      </w:pPr>
      <w:r w:rsidRPr="00FB28A0">
        <w:rPr>
          <w:rFonts w:ascii="Arial" w:hAnsi="Arial"/>
          <w:i/>
          <w:iCs/>
          <w:color w:val="000000"/>
          <w:kern w:val="24"/>
          <w:sz w:val="20"/>
          <w:szCs w:val="20"/>
          <w:lang w:val="nb-NO"/>
        </w:rPr>
        <w:t>** Data generert hos Goodyear Innovation Center Luxembourg for 385/65R22.5-dekk i 2010 og 2011.</w:t>
      </w:r>
    </w:p>
    <w:p w:rsidR="00F144DD" w:rsidRPr="00FB28A0" w:rsidRDefault="00F144DD" w:rsidP="00656A78">
      <w:pPr>
        <w:spacing w:after="120" w:line="360" w:lineRule="auto"/>
        <w:jc w:val="both"/>
        <w:rPr>
          <w:rFonts w:ascii="Arial" w:hAnsi="Arial" w:cs="Arial"/>
          <w:kern w:val="24"/>
          <w:sz w:val="20"/>
          <w:szCs w:val="20"/>
          <w:lang w:val="nb-NO" w:eastAsia="en-GB"/>
        </w:rPr>
      </w:pPr>
    </w:p>
    <w:p w:rsidR="00F144DD" w:rsidRPr="00FB28A0" w:rsidRDefault="00F144DD" w:rsidP="00656A78">
      <w:pPr>
        <w:spacing w:after="120" w:line="360" w:lineRule="auto"/>
        <w:jc w:val="both"/>
        <w:rPr>
          <w:rFonts w:ascii="Arial" w:hAnsi="Arial" w:cs="Arial"/>
          <w:kern w:val="24"/>
          <w:sz w:val="20"/>
          <w:szCs w:val="20"/>
          <w:lang w:val="nb-NO" w:eastAsia="en-GB"/>
        </w:rPr>
      </w:pPr>
    </w:p>
    <w:p w:rsidR="00F144DD" w:rsidRPr="00FB28A0" w:rsidRDefault="00F144DD" w:rsidP="00656A78">
      <w:pPr>
        <w:spacing w:after="120" w:line="360" w:lineRule="auto"/>
        <w:jc w:val="both"/>
        <w:rPr>
          <w:rFonts w:ascii="Arial" w:hAnsi="Arial" w:cs="Arial"/>
          <w:kern w:val="24"/>
          <w:sz w:val="20"/>
          <w:szCs w:val="20"/>
          <w:lang w:val="nb-NO" w:eastAsia="en-GB"/>
        </w:rPr>
      </w:pPr>
      <w:r w:rsidRPr="00FB28A0">
        <w:rPr>
          <w:rFonts w:ascii="Arial" w:hAnsi="Arial" w:cs="Arial"/>
          <w:kern w:val="24"/>
          <w:sz w:val="20"/>
          <w:szCs w:val="20"/>
          <w:lang w:val="nb-NO"/>
        </w:rPr>
        <w:t>De nye dekkene vil bli tilgjengelige i følgende dimensjoner og lasteindekser:</w:t>
      </w:r>
    </w:p>
    <w:tbl>
      <w:tblPr>
        <w:tblW w:w="8361" w:type="dxa"/>
        <w:jc w:val="center"/>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CellMar>
          <w:left w:w="0" w:type="dxa"/>
          <w:right w:w="0" w:type="dxa"/>
        </w:tblCellMar>
        <w:tblLook w:val="0000"/>
      </w:tblPr>
      <w:tblGrid>
        <w:gridCol w:w="1562"/>
        <w:gridCol w:w="1701"/>
        <w:gridCol w:w="1949"/>
        <w:gridCol w:w="3149"/>
      </w:tblGrid>
      <w:tr w:rsidR="00F144DD" w:rsidRPr="0081242C" w:rsidTr="00E64362">
        <w:trPr>
          <w:trHeight w:val="340"/>
          <w:jc w:val="center"/>
        </w:trPr>
        <w:tc>
          <w:tcPr>
            <w:tcW w:w="1562" w:type="dxa"/>
            <w:tcBorders>
              <w:top w:val="single" w:sz="18" w:space="0" w:color="000000"/>
            </w:tcBorders>
            <w:tcMar>
              <w:top w:w="72" w:type="dxa"/>
              <w:left w:w="144" w:type="dxa"/>
              <w:bottom w:w="72" w:type="dxa"/>
              <w:right w:w="144" w:type="dxa"/>
            </w:tcMar>
          </w:tcPr>
          <w:p w:rsidR="00F144DD" w:rsidRPr="0081242C" w:rsidRDefault="00F144DD" w:rsidP="00654DAC">
            <w:pPr>
              <w:pStyle w:val="NormalWeb"/>
              <w:spacing w:before="77" w:beforeAutospacing="0" w:after="0" w:afterAutospacing="0" w:line="343" w:lineRule="atLeast"/>
              <w:jc w:val="center"/>
              <w:textAlignment w:val="baseline"/>
              <w:rPr>
                <w:rFonts w:ascii="Arial" w:hAnsi="Arial" w:cs="Arial"/>
                <w:sz w:val="20"/>
                <w:szCs w:val="20"/>
                <w:lang w:val="en-US"/>
              </w:rPr>
            </w:pPr>
            <w:r>
              <w:rPr>
                <w:rFonts w:ascii="Arial" w:hAnsi="Arial" w:cs="Arial"/>
                <w:b/>
                <w:bCs/>
                <w:kern w:val="24"/>
                <w:sz w:val="20"/>
                <w:szCs w:val="20"/>
              </w:rPr>
              <w:t>Dimensjon</w:t>
            </w:r>
          </w:p>
        </w:tc>
        <w:tc>
          <w:tcPr>
            <w:tcW w:w="1701" w:type="dxa"/>
            <w:tcBorders>
              <w:top w:val="single" w:sz="18" w:space="0" w:color="000000"/>
            </w:tcBorders>
            <w:tcMar>
              <w:top w:w="72" w:type="dxa"/>
              <w:left w:w="144" w:type="dxa"/>
              <w:bottom w:w="72" w:type="dxa"/>
              <w:right w:w="144" w:type="dxa"/>
            </w:tcMar>
          </w:tcPr>
          <w:p w:rsidR="00F144DD" w:rsidRPr="0081242C" w:rsidRDefault="00F144DD" w:rsidP="00654DAC">
            <w:pPr>
              <w:pStyle w:val="NormalWeb"/>
              <w:spacing w:before="77" w:beforeAutospacing="0" w:after="0" w:afterAutospacing="0" w:line="343" w:lineRule="atLeast"/>
              <w:jc w:val="center"/>
              <w:textAlignment w:val="baseline"/>
              <w:rPr>
                <w:rFonts w:ascii="Arial" w:hAnsi="Arial" w:cs="Arial"/>
                <w:sz w:val="20"/>
                <w:szCs w:val="20"/>
                <w:lang w:val="en-US"/>
              </w:rPr>
            </w:pPr>
            <w:r>
              <w:rPr>
                <w:rFonts w:ascii="Arial" w:hAnsi="Arial" w:cs="Arial"/>
                <w:b/>
                <w:bCs/>
                <w:kern w:val="24"/>
                <w:sz w:val="20"/>
                <w:szCs w:val="20"/>
              </w:rPr>
              <w:t>LI /SI</w:t>
            </w:r>
          </w:p>
        </w:tc>
        <w:tc>
          <w:tcPr>
            <w:tcW w:w="1949" w:type="dxa"/>
            <w:tcBorders>
              <w:top w:val="single" w:sz="18" w:space="0" w:color="000000"/>
            </w:tcBorders>
            <w:tcMar>
              <w:top w:w="72" w:type="dxa"/>
              <w:left w:w="144" w:type="dxa"/>
              <w:bottom w:w="72" w:type="dxa"/>
              <w:right w:w="144" w:type="dxa"/>
            </w:tcMar>
          </w:tcPr>
          <w:p w:rsidR="00F144DD" w:rsidRPr="0081242C" w:rsidRDefault="00F144DD" w:rsidP="00DE6C1C">
            <w:pPr>
              <w:pStyle w:val="NormalWeb"/>
              <w:spacing w:before="77" w:beforeAutospacing="0" w:after="0" w:afterAutospacing="0" w:line="343" w:lineRule="atLeast"/>
              <w:ind w:left="-180"/>
              <w:jc w:val="center"/>
              <w:textAlignment w:val="baseline"/>
              <w:rPr>
                <w:rFonts w:ascii="Arial" w:hAnsi="Arial" w:cs="Arial"/>
                <w:sz w:val="20"/>
                <w:szCs w:val="20"/>
                <w:lang w:val="en-US"/>
              </w:rPr>
            </w:pPr>
            <w:r>
              <w:rPr>
                <w:rFonts w:ascii="Arial" w:hAnsi="Arial" w:cs="Arial"/>
                <w:b/>
                <w:bCs/>
                <w:kern w:val="24"/>
                <w:sz w:val="20"/>
                <w:szCs w:val="20"/>
              </w:rPr>
              <w:t>Tilgjengelighet</w:t>
            </w:r>
          </w:p>
        </w:tc>
        <w:tc>
          <w:tcPr>
            <w:tcW w:w="3149" w:type="dxa"/>
            <w:tcBorders>
              <w:top w:val="single" w:sz="18" w:space="0" w:color="000000"/>
            </w:tcBorders>
            <w:tcMar>
              <w:top w:w="72" w:type="dxa"/>
              <w:left w:w="144" w:type="dxa"/>
              <w:bottom w:w="72" w:type="dxa"/>
              <w:right w:w="144" w:type="dxa"/>
            </w:tcMar>
          </w:tcPr>
          <w:p w:rsidR="00F144DD" w:rsidRPr="0081242C" w:rsidRDefault="00F144DD" w:rsidP="00DE6C1C">
            <w:pPr>
              <w:pStyle w:val="NormalWeb"/>
              <w:spacing w:before="77" w:beforeAutospacing="0" w:after="0" w:afterAutospacing="0" w:line="343" w:lineRule="atLeast"/>
              <w:jc w:val="center"/>
              <w:textAlignment w:val="baseline"/>
              <w:rPr>
                <w:rFonts w:ascii="Arial" w:hAnsi="Arial" w:cs="Arial"/>
                <w:sz w:val="20"/>
                <w:szCs w:val="20"/>
                <w:lang w:val="en-US"/>
              </w:rPr>
            </w:pPr>
            <w:r>
              <w:rPr>
                <w:rFonts w:ascii="Arial" w:hAnsi="Arial" w:cs="Arial"/>
                <w:b/>
                <w:bCs/>
                <w:kern w:val="24"/>
                <w:sz w:val="20"/>
                <w:szCs w:val="20"/>
              </w:rPr>
              <w:t>Kommentarer</w:t>
            </w:r>
          </w:p>
        </w:tc>
      </w:tr>
      <w:tr w:rsidR="00F144DD" w:rsidRPr="0081242C" w:rsidTr="00E64362">
        <w:trPr>
          <w:trHeight w:val="331"/>
          <w:jc w:val="center"/>
        </w:trPr>
        <w:tc>
          <w:tcPr>
            <w:tcW w:w="1562" w:type="dxa"/>
            <w:vMerge w:val="restart"/>
            <w:tcMar>
              <w:top w:w="72" w:type="dxa"/>
              <w:left w:w="144" w:type="dxa"/>
              <w:bottom w:w="72" w:type="dxa"/>
              <w:right w:w="144" w:type="dxa"/>
            </w:tcMar>
            <w:vAlign w:val="center"/>
          </w:tcPr>
          <w:p w:rsidR="00F144DD" w:rsidRPr="0081242C" w:rsidRDefault="00F144DD" w:rsidP="00654DAC">
            <w:pPr>
              <w:pStyle w:val="NormalWeb"/>
              <w:spacing w:before="77" w:beforeAutospacing="0" w:after="0" w:afterAutospacing="0" w:line="340" w:lineRule="atLeast"/>
              <w:jc w:val="center"/>
              <w:textAlignment w:val="baseline"/>
              <w:rPr>
                <w:rFonts w:ascii="Arial" w:hAnsi="Arial" w:cs="Arial"/>
                <w:sz w:val="20"/>
                <w:szCs w:val="20"/>
                <w:lang w:val="en-US"/>
              </w:rPr>
            </w:pPr>
            <w:r>
              <w:rPr>
                <w:rFonts w:ascii="Arial" w:hAnsi="Arial" w:cs="Arial"/>
                <w:b/>
                <w:bCs/>
                <w:kern w:val="24"/>
                <w:sz w:val="20"/>
                <w:szCs w:val="20"/>
              </w:rPr>
              <w:t>385/65R22.5</w:t>
            </w:r>
          </w:p>
        </w:tc>
        <w:tc>
          <w:tcPr>
            <w:tcW w:w="1701" w:type="dxa"/>
            <w:tcMar>
              <w:top w:w="72" w:type="dxa"/>
              <w:left w:w="144" w:type="dxa"/>
              <w:bottom w:w="72" w:type="dxa"/>
              <w:right w:w="144" w:type="dxa"/>
            </w:tcMar>
          </w:tcPr>
          <w:p w:rsidR="00F144DD" w:rsidRPr="0081242C" w:rsidRDefault="00F144DD" w:rsidP="00654DAC">
            <w:pPr>
              <w:pStyle w:val="NormalWeb"/>
              <w:spacing w:before="77" w:beforeAutospacing="0" w:after="0" w:afterAutospacing="0" w:line="340" w:lineRule="atLeast"/>
              <w:jc w:val="center"/>
              <w:textAlignment w:val="baseline"/>
              <w:rPr>
                <w:rFonts w:ascii="Arial" w:hAnsi="Arial" w:cs="Arial"/>
                <w:sz w:val="20"/>
                <w:szCs w:val="20"/>
                <w:lang w:val="en-US"/>
              </w:rPr>
            </w:pPr>
            <w:r>
              <w:rPr>
                <w:rFonts w:ascii="Arial" w:hAnsi="Arial" w:cs="Arial"/>
                <w:b/>
                <w:bCs/>
                <w:kern w:val="24"/>
                <w:sz w:val="20"/>
                <w:szCs w:val="20"/>
              </w:rPr>
              <w:t>160 K (158 L)</w:t>
            </w:r>
          </w:p>
        </w:tc>
        <w:tc>
          <w:tcPr>
            <w:tcW w:w="1949" w:type="dxa"/>
            <w:tcMar>
              <w:top w:w="72" w:type="dxa"/>
              <w:left w:w="144" w:type="dxa"/>
              <w:bottom w:w="72" w:type="dxa"/>
              <w:right w:w="144" w:type="dxa"/>
            </w:tcMar>
          </w:tcPr>
          <w:p w:rsidR="00F144DD" w:rsidRPr="0081242C" w:rsidRDefault="00F144DD" w:rsidP="00DE6C1C">
            <w:pPr>
              <w:pStyle w:val="NormalWeb"/>
              <w:spacing w:before="77" w:beforeAutospacing="0" w:after="0" w:afterAutospacing="0" w:line="336" w:lineRule="auto"/>
              <w:jc w:val="center"/>
              <w:textAlignment w:val="baseline"/>
              <w:rPr>
                <w:rFonts w:ascii="Arial" w:hAnsi="Arial" w:cs="Arial"/>
                <w:b/>
                <w:bCs/>
                <w:kern w:val="24"/>
                <w:sz w:val="20"/>
                <w:szCs w:val="20"/>
                <w:lang w:val="en-US"/>
              </w:rPr>
            </w:pPr>
            <w:r>
              <w:rPr>
                <w:rFonts w:ascii="Arial" w:hAnsi="Arial" w:cs="Arial"/>
                <w:b/>
                <w:bCs/>
                <w:kern w:val="24"/>
                <w:sz w:val="20"/>
                <w:szCs w:val="20"/>
              </w:rPr>
              <w:t>Tilgjengelig</w:t>
            </w:r>
          </w:p>
        </w:tc>
        <w:tc>
          <w:tcPr>
            <w:tcW w:w="3149" w:type="dxa"/>
            <w:tcMar>
              <w:top w:w="72" w:type="dxa"/>
              <w:left w:w="144" w:type="dxa"/>
              <w:bottom w:w="72" w:type="dxa"/>
              <w:right w:w="144" w:type="dxa"/>
            </w:tcMar>
          </w:tcPr>
          <w:p w:rsidR="00F144DD" w:rsidRPr="0081242C" w:rsidRDefault="00F144DD" w:rsidP="00DE6C1C">
            <w:pPr>
              <w:rPr>
                <w:rFonts w:ascii="Arial" w:hAnsi="Arial" w:cs="Arial"/>
                <w:sz w:val="20"/>
                <w:szCs w:val="20"/>
                <w:lang w:val="en-US"/>
              </w:rPr>
            </w:pPr>
          </w:p>
        </w:tc>
      </w:tr>
      <w:tr w:rsidR="00F144DD" w:rsidRPr="0081242C" w:rsidTr="00E64362">
        <w:trPr>
          <w:trHeight w:val="324"/>
          <w:jc w:val="center"/>
        </w:trPr>
        <w:tc>
          <w:tcPr>
            <w:tcW w:w="1562" w:type="dxa"/>
            <w:vMerge/>
            <w:vAlign w:val="center"/>
          </w:tcPr>
          <w:p w:rsidR="00F144DD" w:rsidRPr="0081242C" w:rsidRDefault="00F144DD" w:rsidP="00654DAC">
            <w:pPr>
              <w:jc w:val="center"/>
              <w:rPr>
                <w:rFonts w:ascii="Arial" w:hAnsi="Arial" w:cs="Arial"/>
                <w:sz w:val="20"/>
                <w:szCs w:val="20"/>
                <w:lang w:val="en-US"/>
              </w:rPr>
            </w:pPr>
          </w:p>
        </w:tc>
        <w:tc>
          <w:tcPr>
            <w:tcW w:w="1701" w:type="dxa"/>
            <w:tcMar>
              <w:top w:w="72" w:type="dxa"/>
              <w:left w:w="144" w:type="dxa"/>
              <w:bottom w:w="72" w:type="dxa"/>
              <w:right w:w="144" w:type="dxa"/>
            </w:tcMar>
          </w:tcPr>
          <w:p w:rsidR="00F144DD" w:rsidRPr="0081242C" w:rsidRDefault="00F144DD" w:rsidP="00654DAC">
            <w:pPr>
              <w:pStyle w:val="NormalWeb"/>
              <w:spacing w:before="77"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164 K (158 L)</w:t>
            </w:r>
          </w:p>
        </w:tc>
        <w:tc>
          <w:tcPr>
            <w:tcW w:w="1949" w:type="dxa"/>
            <w:tcMar>
              <w:top w:w="72" w:type="dxa"/>
              <w:left w:w="144" w:type="dxa"/>
              <w:bottom w:w="72" w:type="dxa"/>
              <w:right w:w="144" w:type="dxa"/>
            </w:tcMar>
          </w:tcPr>
          <w:p w:rsidR="00F144DD" w:rsidRPr="0081242C" w:rsidRDefault="00F144DD" w:rsidP="00DE6C1C">
            <w:pPr>
              <w:pStyle w:val="NormalWeb"/>
              <w:spacing w:before="77" w:beforeAutospacing="0" w:after="0" w:afterAutospacing="0" w:line="336" w:lineRule="auto"/>
              <w:jc w:val="center"/>
              <w:textAlignment w:val="baseline"/>
              <w:rPr>
                <w:rFonts w:ascii="Arial" w:hAnsi="Arial" w:cs="Arial"/>
                <w:b/>
                <w:bCs/>
                <w:kern w:val="24"/>
                <w:sz w:val="20"/>
                <w:szCs w:val="20"/>
                <w:lang w:val="en-US"/>
              </w:rPr>
            </w:pPr>
            <w:r>
              <w:rPr>
                <w:rFonts w:ascii="Arial" w:hAnsi="Arial" w:cs="Arial"/>
                <w:b/>
                <w:bCs/>
                <w:kern w:val="24"/>
                <w:sz w:val="20"/>
                <w:szCs w:val="20"/>
              </w:rPr>
              <w:t>Tilgjengelig</w:t>
            </w:r>
          </w:p>
        </w:tc>
        <w:tc>
          <w:tcPr>
            <w:tcW w:w="3149" w:type="dxa"/>
            <w:tcMar>
              <w:top w:w="72" w:type="dxa"/>
              <w:left w:w="144" w:type="dxa"/>
              <w:bottom w:w="72" w:type="dxa"/>
              <w:right w:w="144" w:type="dxa"/>
            </w:tcMar>
          </w:tcPr>
          <w:p w:rsidR="00F144DD" w:rsidRPr="0081242C" w:rsidRDefault="00F144DD" w:rsidP="00DE6C1C">
            <w:pPr>
              <w:pStyle w:val="NormalWeb"/>
              <w:spacing w:before="77" w:beforeAutospacing="0" w:after="0" w:afterAutospacing="0" w:line="336" w:lineRule="auto"/>
              <w:jc w:val="center"/>
              <w:textAlignment w:val="baseline"/>
              <w:rPr>
                <w:rFonts w:ascii="Arial" w:hAnsi="Arial" w:cs="Arial"/>
                <w:sz w:val="20"/>
                <w:szCs w:val="20"/>
                <w:lang w:val="en-US"/>
              </w:rPr>
            </w:pPr>
            <w:r>
              <w:rPr>
                <w:rFonts w:ascii="Arial" w:hAnsi="Arial" w:cs="Arial"/>
                <w:b/>
                <w:bCs/>
                <w:kern w:val="24"/>
                <w:sz w:val="20"/>
                <w:szCs w:val="20"/>
              </w:rPr>
              <w:t>Versjon for tung last</w:t>
            </w:r>
          </w:p>
        </w:tc>
      </w:tr>
      <w:tr w:rsidR="00F144DD" w:rsidRPr="0081242C" w:rsidTr="00E64362">
        <w:trPr>
          <w:trHeight w:val="318"/>
          <w:jc w:val="center"/>
        </w:trPr>
        <w:tc>
          <w:tcPr>
            <w:tcW w:w="1562" w:type="dxa"/>
            <w:tcMar>
              <w:top w:w="72" w:type="dxa"/>
              <w:left w:w="144" w:type="dxa"/>
              <w:bottom w:w="72" w:type="dxa"/>
              <w:right w:w="144" w:type="dxa"/>
            </w:tcMar>
          </w:tcPr>
          <w:p w:rsidR="00F144DD" w:rsidRPr="0081242C" w:rsidRDefault="00F144DD" w:rsidP="007B4820">
            <w:pPr>
              <w:pStyle w:val="NormalWeb"/>
              <w:spacing w:before="77" w:beforeAutospacing="0" w:after="0" w:afterAutospacing="0" w:line="336" w:lineRule="auto"/>
              <w:jc w:val="center"/>
              <w:textAlignment w:val="baseline"/>
              <w:rPr>
                <w:rFonts w:ascii="Arial" w:hAnsi="Arial" w:cs="Arial"/>
                <w:sz w:val="20"/>
                <w:szCs w:val="20"/>
                <w:lang w:val="en-US"/>
              </w:rPr>
            </w:pPr>
            <w:r>
              <w:rPr>
                <w:rFonts w:ascii="Arial" w:hAnsi="Arial" w:cs="Arial"/>
                <w:b/>
                <w:bCs/>
                <w:color w:val="000000"/>
                <w:kern w:val="24"/>
                <w:sz w:val="20"/>
                <w:szCs w:val="20"/>
              </w:rPr>
              <w:t>435/50R19.5</w:t>
            </w:r>
          </w:p>
        </w:tc>
        <w:tc>
          <w:tcPr>
            <w:tcW w:w="1701" w:type="dxa"/>
            <w:tcMar>
              <w:top w:w="72" w:type="dxa"/>
              <w:left w:w="144" w:type="dxa"/>
              <w:bottom w:w="72" w:type="dxa"/>
              <w:right w:w="144" w:type="dxa"/>
            </w:tcMar>
          </w:tcPr>
          <w:p w:rsidR="00F144DD" w:rsidRPr="0081242C" w:rsidRDefault="00F144DD" w:rsidP="007B4820">
            <w:pPr>
              <w:pStyle w:val="NormalWeb"/>
              <w:spacing w:before="77" w:beforeAutospacing="0" w:after="0" w:afterAutospacing="0" w:line="336" w:lineRule="auto"/>
              <w:jc w:val="center"/>
              <w:textAlignment w:val="baseline"/>
              <w:rPr>
                <w:rFonts w:ascii="Arial" w:hAnsi="Arial" w:cs="Arial"/>
                <w:sz w:val="20"/>
                <w:szCs w:val="20"/>
                <w:lang w:val="en-US"/>
              </w:rPr>
            </w:pPr>
            <w:r>
              <w:rPr>
                <w:rFonts w:ascii="Arial" w:hAnsi="Arial" w:cs="Arial"/>
                <w:b/>
                <w:bCs/>
                <w:color w:val="000000"/>
                <w:kern w:val="24"/>
                <w:sz w:val="20"/>
                <w:szCs w:val="20"/>
              </w:rPr>
              <w:t>160 J</w:t>
            </w:r>
          </w:p>
        </w:tc>
        <w:tc>
          <w:tcPr>
            <w:tcW w:w="1949" w:type="dxa"/>
            <w:tcMar>
              <w:top w:w="72" w:type="dxa"/>
              <w:left w:w="144" w:type="dxa"/>
              <w:bottom w:w="72" w:type="dxa"/>
              <w:right w:w="144" w:type="dxa"/>
            </w:tcMar>
          </w:tcPr>
          <w:p w:rsidR="00F144DD" w:rsidRPr="0081242C" w:rsidRDefault="00F144DD" w:rsidP="00DE6C1C">
            <w:pPr>
              <w:pStyle w:val="NormalWeb"/>
              <w:spacing w:before="77" w:beforeAutospacing="0" w:after="0" w:afterAutospacing="0" w:line="336" w:lineRule="auto"/>
              <w:jc w:val="center"/>
              <w:textAlignment w:val="baseline"/>
              <w:rPr>
                <w:rFonts w:ascii="Arial" w:hAnsi="Arial" w:cs="Arial"/>
                <w:b/>
                <w:bCs/>
                <w:kern w:val="24"/>
                <w:sz w:val="20"/>
                <w:szCs w:val="20"/>
                <w:lang w:val="en-US"/>
              </w:rPr>
            </w:pPr>
            <w:r>
              <w:rPr>
                <w:rFonts w:ascii="Arial" w:hAnsi="Arial" w:cs="Arial"/>
                <w:b/>
                <w:bCs/>
                <w:kern w:val="24"/>
                <w:sz w:val="20"/>
                <w:szCs w:val="20"/>
              </w:rPr>
              <w:t>Tilgjengelig</w:t>
            </w:r>
          </w:p>
        </w:tc>
        <w:tc>
          <w:tcPr>
            <w:tcW w:w="3149" w:type="dxa"/>
            <w:tcMar>
              <w:top w:w="72" w:type="dxa"/>
              <w:left w:w="144" w:type="dxa"/>
              <w:bottom w:w="72" w:type="dxa"/>
              <w:right w:w="144" w:type="dxa"/>
            </w:tcMar>
          </w:tcPr>
          <w:p w:rsidR="00F144DD" w:rsidRPr="0081242C" w:rsidRDefault="00F144DD" w:rsidP="000C62DD">
            <w:pPr>
              <w:pStyle w:val="NormalWeb"/>
              <w:spacing w:before="77" w:beforeAutospacing="0" w:after="0" w:afterAutospacing="0" w:line="336" w:lineRule="auto"/>
              <w:jc w:val="center"/>
              <w:textAlignment w:val="baseline"/>
              <w:rPr>
                <w:rFonts w:ascii="Arial" w:hAnsi="Arial" w:cs="Arial"/>
                <w:b/>
                <w:bCs/>
                <w:kern w:val="24"/>
                <w:sz w:val="20"/>
                <w:szCs w:val="20"/>
                <w:lang w:val="en-US"/>
              </w:rPr>
            </w:pPr>
            <w:r>
              <w:rPr>
                <w:rFonts w:ascii="Arial" w:hAnsi="Arial" w:cs="Arial"/>
                <w:b/>
                <w:bCs/>
                <w:kern w:val="24"/>
                <w:sz w:val="20"/>
                <w:szCs w:val="20"/>
              </w:rPr>
              <w:t>Seks ribber</w:t>
            </w:r>
          </w:p>
        </w:tc>
      </w:tr>
      <w:tr w:rsidR="00F144DD" w:rsidRPr="0081242C" w:rsidTr="00E64362">
        <w:trPr>
          <w:trHeight w:val="326"/>
          <w:jc w:val="center"/>
        </w:trPr>
        <w:tc>
          <w:tcPr>
            <w:tcW w:w="1562" w:type="dxa"/>
            <w:tcMar>
              <w:top w:w="72" w:type="dxa"/>
              <w:left w:w="144" w:type="dxa"/>
              <w:bottom w:w="72" w:type="dxa"/>
              <w:right w:w="144" w:type="dxa"/>
            </w:tcMar>
          </w:tcPr>
          <w:p w:rsidR="00F144DD" w:rsidRPr="0081242C" w:rsidRDefault="00F144DD" w:rsidP="007B4820">
            <w:pPr>
              <w:pStyle w:val="NormalWeb"/>
              <w:spacing w:before="77" w:beforeAutospacing="0" w:after="0" w:afterAutospacing="0" w:line="336" w:lineRule="auto"/>
              <w:jc w:val="center"/>
              <w:textAlignment w:val="baseline"/>
              <w:rPr>
                <w:rFonts w:ascii="Arial" w:hAnsi="Arial" w:cs="Arial"/>
                <w:sz w:val="20"/>
                <w:szCs w:val="20"/>
                <w:lang w:val="en-US"/>
              </w:rPr>
            </w:pPr>
            <w:r>
              <w:rPr>
                <w:rFonts w:ascii="Arial" w:hAnsi="Arial" w:cs="Arial"/>
                <w:b/>
                <w:bCs/>
                <w:color w:val="000000"/>
                <w:kern w:val="24"/>
                <w:sz w:val="20"/>
                <w:szCs w:val="20"/>
              </w:rPr>
              <w:t>385/55R22.5</w:t>
            </w:r>
          </w:p>
        </w:tc>
        <w:tc>
          <w:tcPr>
            <w:tcW w:w="1701" w:type="dxa"/>
            <w:tcMar>
              <w:top w:w="72" w:type="dxa"/>
              <w:left w:w="144" w:type="dxa"/>
              <w:bottom w:w="72" w:type="dxa"/>
              <w:right w:w="144" w:type="dxa"/>
            </w:tcMar>
          </w:tcPr>
          <w:p w:rsidR="00F144DD" w:rsidRPr="0081242C" w:rsidRDefault="00F144DD" w:rsidP="00654DAC">
            <w:pPr>
              <w:pStyle w:val="NormalWeb"/>
              <w:spacing w:before="77" w:beforeAutospacing="0" w:after="0" w:afterAutospacing="0" w:line="336" w:lineRule="auto"/>
              <w:jc w:val="center"/>
              <w:textAlignment w:val="baseline"/>
              <w:rPr>
                <w:rFonts w:ascii="Arial" w:hAnsi="Arial" w:cs="Arial"/>
                <w:sz w:val="20"/>
                <w:szCs w:val="20"/>
                <w:lang w:val="en-US"/>
              </w:rPr>
            </w:pPr>
            <w:r>
              <w:rPr>
                <w:rFonts w:ascii="Arial" w:hAnsi="Arial" w:cs="Arial"/>
                <w:b/>
                <w:bCs/>
                <w:color w:val="000000"/>
                <w:kern w:val="24"/>
                <w:sz w:val="20"/>
                <w:szCs w:val="20"/>
              </w:rPr>
              <w:t>160 K (158 L)</w:t>
            </w:r>
          </w:p>
        </w:tc>
        <w:tc>
          <w:tcPr>
            <w:tcW w:w="1949" w:type="dxa"/>
            <w:tcMar>
              <w:top w:w="72" w:type="dxa"/>
              <w:left w:w="144" w:type="dxa"/>
              <w:bottom w:w="72" w:type="dxa"/>
              <w:right w:w="144" w:type="dxa"/>
            </w:tcMar>
          </w:tcPr>
          <w:p w:rsidR="00F144DD" w:rsidRPr="0081242C" w:rsidRDefault="00F144DD" w:rsidP="00DE6C1C">
            <w:pPr>
              <w:pStyle w:val="NormalWeb"/>
              <w:spacing w:before="77" w:beforeAutospacing="0" w:after="0" w:afterAutospacing="0" w:line="336" w:lineRule="auto"/>
              <w:ind w:left="-180"/>
              <w:jc w:val="center"/>
              <w:textAlignment w:val="baseline"/>
              <w:rPr>
                <w:rFonts w:ascii="Arial" w:hAnsi="Arial" w:cs="Arial"/>
                <w:sz w:val="20"/>
                <w:szCs w:val="20"/>
                <w:lang w:val="en-US"/>
              </w:rPr>
            </w:pPr>
            <w:r>
              <w:rPr>
                <w:rFonts w:ascii="Arial" w:hAnsi="Arial" w:cs="Arial"/>
                <w:b/>
                <w:bCs/>
                <w:kern w:val="24"/>
                <w:sz w:val="20"/>
                <w:szCs w:val="20"/>
              </w:rPr>
              <w:t>Desember 2011</w:t>
            </w:r>
          </w:p>
        </w:tc>
        <w:tc>
          <w:tcPr>
            <w:tcW w:w="3149" w:type="dxa"/>
            <w:tcMar>
              <w:top w:w="72" w:type="dxa"/>
              <w:left w:w="144" w:type="dxa"/>
              <w:bottom w:w="72" w:type="dxa"/>
              <w:right w:w="144" w:type="dxa"/>
            </w:tcMar>
          </w:tcPr>
          <w:p w:rsidR="00F144DD" w:rsidRPr="0081242C" w:rsidRDefault="00F144DD" w:rsidP="00DE6C1C">
            <w:pPr>
              <w:rPr>
                <w:rFonts w:ascii="Arial" w:hAnsi="Arial" w:cs="Arial"/>
                <w:sz w:val="20"/>
                <w:szCs w:val="20"/>
                <w:lang w:val="en-US"/>
              </w:rPr>
            </w:pPr>
          </w:p>
        </w:tc>
      </w:tr>
      <w:tr w:rsidR="00F144DD" w:rsidRPr="0081242C" w:rsidTr="00E64362">
        <w:trPr>
          <w:trHeight w:val="408"/>
          <w:jc w:val="center"/>
        </w:trPr>
        <w:tc>
          <w:tcPr>
            <w:tcW w:w="1562" w:type="dxa"/>
            <w:tcMar>
              <w:top w:w="72" w:type="dxa"/>
              <w:left w:w="144" w:type="dxa"/>
              <w:bottom w:w="72" w:type="dxa"/>
              <w:right w:w="144" w:type="dxa"/>
            </w:tcMar>
          </w:tcPr>
          <w:p w:rsidR="00F144DD" w:rsidRPr="0081242C" w:rsidRDefault="00F144DD" w:rsidP="00654DAC">
            <w:pPr>
              <w:pStyle w:val="NormalWeb"/>
              <w:spacing w:before="77" w:beforeAutospacing="0" w:after="0" w:afterAutospacing="0" w:line="336" w:lineRule="auto"/>
              <w:jc w:val="center"/>
              <w:textAlignment w:val="baseline"/>
              <w:rPr>
                <w:rFonts w:ascii="Arial" w:hAnsi="Arial" w:cs="Arial"/>
                <w:sz w:val="20"/>
                <w:szCs w:val="20"/>
                <w:lang w:val="en-US"/>
              </w:rPr>
            </w:pPr>
            <w:r>
              <w:rPr>
                <w:rFonts w:ascii="Arial" w:hAnsi="Arial" w:cs="Arial"/>
                <w:b/>
                <w:bCs/>
                <w:color w:val="000000"/>
                <w:kern w:val="24"/>
                <w:sz w:val="20"/>
                <w:szCs w:val="20"/>
              </w:rPr>
              <w:t>425/65R22.5</w:t>
            </w:r>
          </w:p>
        </w:tc>
        <w:tc>
          <w:tcPr>
            <w:tcW w:w="1701" w:type="dxa"/>
            <w:tcMar>
              <w:top w:w="72" w:type="dxa"/>
              <w:left w:w="144" w:type="dxa"/>
              <w:bottom w:w="72" w:type="dxa"/>
              <w:right w:w="144" w:type="dxa"/>
            </w:tcMar>
          </w:tcPr>
          <w:p w:rsidR="00F144DD" w:rsidRPr="0081242C" w:rsidRDefault="00F144DD" w:rsidP="00654DAC">
            <w:pPr>
              <w:pStyle w:val="NormalWeb"/>
              <w:spacing w:before="77" w:beforeAutospacing="0" w:after="0" w:afterAutospacing="0" w:line="336" w:lineRule="auto"/>
              <w:jc w:val="center"/>
              <w:textAlignment w:val="baseline"/>
              <w:rPr>
                <w:rFonts w:ascii="Arial" w:hAnsi="Arial" w:cs="Arial"/>
                <w:sz w:val="20"/>
                <w:szCs w:val="20"/>
                <w:lang w:val="en-US"/>
              </w:rPr>
            </w:pPr>
            <w:r>
              <w:rPr>
                <w:rFonts w:ascii="Arial" w:hAnsi="Arial" w:cs="Arial"/>
                <w:b/>
                <w:bCs/>
                <w:color w:val="000000"/>
                <w:kern w:val="24"/>
                <w:sz w:val="20"/>
                <w:szCs w:val="20"/>
              </w:rPr>
              <w:t>165 K</w:t>
            </w:r>
          </w:p>
        </w:tc>
        <w:tc>
          <w:tcPr>
            <w:tcW w:w="1949" w:type="dxa"/>
            <w:tcMar>
              <w:top w:w="72" w:type="dxa"/>
              <w:left w:w="144" w:type="dxa"/>
              <w:bottom w:w="72" w:type="dxa"/>
              <w:right w:w="144" w:type="dxa"/>
            </w:tcMar>
          </w:tcPr>
          <w:p w:rsidR="00F144DD" w:rsidRPr="0081242C" w:rsidRDefault="00F144DD" w:rsidP="00DE6C1C">
            <w:pPr>
              <w:pStyle w:val="NormalWeb"/>
              <w:spacing w:before="77" w:beforeAutospacing="0" w:after="0" w:afterAutospacing="0" w:line="336" w:lineRule="auto"/>
              <w:ind w:left="-180"/>
              <w:jc w:val="center"/>
              <w:textAlignment w:val="baseline"/>
              <w:rPr>
                <w:rFonts w:ascii="Arial" w:hAnsi="Arial" w:cs="Arial"/>
                <w:sz w:val="20"/>
                <w:szCs w:val="20"/>
                <w:lang w:val="en-US"/>
              </w:rPr>
            </w:pPr>
            <w:r>
              <w:rPr>
                <w:rFonts w:ascii="Arial" w:hAnsi="Arial" w:cs="Arial"/>
                <w:b/>
                <w:bCs/>
                <w:kern w:val="24"/>
                <w:sz w:val="20"/>
                <w:szCs w:val="20"/>
              </w:rPr>
              <w:t>Mars 2012</w:t>
            </w:r>
          </w:p>
        </w:tc>
        <w:tc>
          <w:tcPr>
            <w:tcW w:w="3149" w:type="dxa"/>
            <w:tcMar>
              <w:top w:w="72" w:type="dxa"/>
              <w:left w:w="144" w:type="dxa"/>
              <w:bottom w:w="72" w:type="dxa"/>
              <w:right w:w="144" w:type="dxa"/>
            </w:tcMar>
          </w:tcPr>
          <w:p w:rsidR="00F144DD" w:rsidRPr="0081242C" w:rsidRDefault="00F144DD" w:rsidP="00DE6C1C">
            <w:pPr>
              <w:rPr>
                <w:rFonts w:ascii="Arial" w:hAnsi="Arial" w:cs="Arial"/>
                <w:sz w:val="20"/>
                <w:szCs w:val="20"/>
                <w:lang w:val="en-US"/>
              </w:rPr>
            </w:pPr>
            <w:bookmarkStart w:id="1" w:name="_GoBack"/>
            <w:bookmarkEnd w:id="1"/>
          </w:p>
        </w:tc>
      </w:tr>
      <w:tr w:rsidR="00F144DD" w:rsidRPr="0081242C" w:rsidTr="00E64362">
        <w:trPr>
          <w:trHeight w:val="408"/>
          <w:jc w:val="center"/>
        </w:trPr>
        <w:tc>
          <w:tcPr>
            <w:tcW w:w="1562" w:type="dxa"/>
            <w:tcBorders>
              <w:bottom w:val="single" w:sz="18" w:space="0" w:color="000000"/>
            </w:tcBorders>
            <w:tcMar>
              <w:top w:w="72" w:type="dxa"/>
              <w:left w:w="144" w:type="dxa"/>
              <w:bottom w:w="72" w:type="dxa"/>
              <w:right w:w="144" w:type="dxa"/>
            </w:tcMar>
          </w:tcPr>
          <w:p w:rsidR="00F144DD" w:rsidRPr="0081242C" w:rsidRDefault="00F144DD" w:rsidP="00654DAC">
            <w:pPr>
              <w:pStyle w:val="NormalWeb"/>
              <w:spacing w:before="77" w:beforeAutospacing="0" w:after="0" w:afterAutospacing="0" w:line="336" w:lineRule="auto"/>
              <w:jc w:val="center"/>
              <w:textAlignment w:val="baseline"/>
              <w:rPr>
                <w:rFonts w:ascii="Arial" w:hAnsi="Arial" w:cs="Arial"/>
                <w:b/>
                <w:bCs/>
                <w:color w:val="000000"/>
                <w:kern w:val="24"/>
                <w:sz w:val="20"/>
                <w:szCs w:val="20"/>
                <w:lang w:val="en-US"/>
              </w:rPr>
            </w:pPr>
            <w:r>
              <w:rPr>
                <w:rFonts w:ascii="Arial" w:hAnsi="Arial" w:cs="Arial"/>
                <w:b/>
                <w:bCs/>
                <w:color w:val="000000"/>
                <w:kern w:val="24"/>
                <w:sz w:val="20"/>
                <w:szCs w:val="20"/>
              </w:rPr>
              <w:t>445/65R22.5</w:t>
            </w:r>
          </w:p>
        </w:tc>
        <w:tc>
          <w:tcPr>
            <w:tcW w:w="1701" w:type="dxa"/>
            <w:tcBorders>
              <w:bottom w:val="single" w:sz="18" w:space="0" w:color="000000"/>
            </w:tcBorders>
            <w:tcMar>
              <w:top w:w="72" w:type="dxa"/>
              <w:left w:w="144" w:type="dxa"/>
              <w:bottom w:w="72" w:type="dxa"/>
              <w:right w:w="144" w:type="dxa"/>
            </w:tcMar>
          </w:tcPr>
          <w:p w:rsidR="00F144DD" w:rsidRPr="0081242C" w:rsidRDefault="00F144DD" w:rsidP="00654DAC">
            <w:pPr>
              <w:pStyle w:val="NormalWeb"/>
              <w:spacing w:before="77" w:beforeAutospacing="0" w:after="0" w:afterAutospacing="0" w:line="336" w:lineRule="auto"/>
              <w:jc w:val="center"/>
              <w:textAlignment w:val="baseline"/>
              <w:rPr>
                <w:rFonts w:ascii="Arial" w:hAnsi="Arial" w:cs="Arial"/>
                <w:b/>
                <w:bCs/>
                <w:color w:val="000000"/>
                <w:kern w:val="24"/>
                <w:sz w:val="20"/>
                <w:szCs w:val="20"/>
                <w:lang w:val="en-US"/>
              </w:rPr>
            </w:pPr>
            <w:r>
              <w:rPr>
                <w:rFonts w:ascii="Arial" w:hAnsi="Arial" w:cs="Arial"/>
                <w:b/>
                <w:bCs/>
                <w:color w:val="000000"/>
                <w:kern w:val="24"/>
                <w:sz w:val="20"/>
                <w:szCs w:val="20"/>
              </w:rPr>
              <w:t>169 K</w:t>
            </w:r>
          </w:p>
        </w:tc>
        <w:tc>
          <w:tcPr>
            <w:tcW w:w="1949" w:type="dxa"/>
            <w:tcBorders>
              <w:bottom w:val="single" w:sz="18" w:space="0" w:color="000000"/>
            </w:tcBorders>
            <w:tcMar>
              <w:top w:w="72" w:type="dxa"/>
              <w:left w:w="144" w:type="dxa"/>
              <w:bottom w:w="72" w:type="dxa"/>
              <w:right w:w="144" w:type="dxa"/>
            </w:tcMar>
          </w:tcPr>
          <w:p w:rsidR="00F144DD" w:rsidRPr="0081242C" w:rsidRDefault="00F144DD" w:rsidP="00DE6C1C">
            <w:pPr>
              <w:pStyle w:val="NormalWeb"/>
              <w:spacing w:before="77" w:beforeAutospacing="0" w:after="0" w:afterAutospacing="0" w:line="336" w:lineRule="auto"/>
              <w:ind w:left="-180"/>
              <w:jc w:val="center"/>
              <w:textAlignment w:val="baseline"/>
              <w:rPr>
                <w:rFonts w:ascii="Arial" w:hAnsi="Arial" w:cs="Arial"/>
                <w:b/>
                <w:bCs/>
                <w:kern w:val="24"/>
                <w:sz w:val="20"/>
                <w:szCs w:val="20"/>
                <w:lang w:val="en-US"/>
              </w:rPr>
            </w:pPr>
            <w:r>
              <w:rPr>
                <w:rFonts w:ascii="Arial" w:hAnsi="Arial" w:cs="Arial"/>
                <w:b/>
                <w:bCs/>
                <w:kern w:val="24"/>
                <w:sz w:val="20"/>
                <w:szCs w:val="20"/>
              </w:rPr>
              <w:t>April 2012</w:t>
            </w:r>
          </w:p>
        </w:tc>
        <w:tc>
          <w:tcPr>
            <w:tcW w:w="3149" w:type="dxa"/>
            <w:tcBorders>
              <w:bottom w:val="single" w:sz="18" w:space="0" w:color="000000"/>
            </w:tcBorders>
            <w:tcMar>
              <w:top w:w="72" w:type="dxa"/>
              <w:left w:w="144" w:type="dxa"/>
              <w:bottom w:w="72" w:type="dxa"/>
              <w:right w:w="144" w:type="dxa"/>
            </w:tcMar>
          </w:tcPr>
          <w:p w:rsidR="00F144DD" w:rsidRPr="0081242C" w:rsidRDefault="00F144DD" w:rsidP="00DE6C1C">
            <w:pPr>
              <w:rPr>
                <w:rFonts w:ascii="Arial" w:hAnsi="Arial" w:cs="Arial"/>
                <w:sz w:val="20"/>
                <w:szCs w:val="20"/>
                <w:lang w:val="en-US"/>
              </w:rPr>
            </w:pPr>
          </w:p>
        </w:tc>
      </w:tr>
    </w:tbl>
    <w:p w:rsidR="00F144DD" w:rsidRPr="0081242C" w:rsidRDefault="00F144DD" w:rsidP="00307DCC">
      <w:pPr>
        <w:pStyle w:val="NormalWeb"/>
        <w:spacing w:before="0" w:beforeAutospacing="0" w:after="120" w:afterAutospacing="0" w:line="360" w:lineRule="auto"/>
        <w:jc w:val="both"/>
        <w:textAlignment w:val="baseline"/>
        <w:rPr>
          <w:rFonts w:ascii="Arial" w:hAnsi="Arial" w:cs="Arial"/>
          <w:sz w:val="20"/>
          <w:szCs w:val="20"/>
          <w:lang w:val="en-US"/>
        </w:rPr>
      </w:pPr>
    </w:p>
    <w:p w:rsidR="00F144DD" w:rsidRPr="00FB28A0" w:rsidRDefault="00F144DD" w:rsidP="00432E1E">
      <w:pPr>
        <w:tabs>
          <w:tab w:val="left" w:pos="7560"/>
          <w:tab w:val="left" w:pos="9000"/>
        </w:tabs>
        <w:spacing w:after="120" w:line="360" w:lineRule="auto"/>
        <w:jc w:val="both"/>
        <w:rPr>
          <w:rFonts w:ascii="Arial" w:hAnsi="Arial" w:cs="Arial"/>
          <w:sz w:val="20"/>
          <w:szCs w:val="20"/>
          <w:lang w:val="nb-NO"/>
        </w:rPr>
      </w:pPr>
      <w:r w:rsidRPr="00FB28A0">
        <w:rPr>
          <w:rFonts w:ascii="Arial" w:hAnsi="Arial" w:cs="Arial"/>
          <w:sz w:val="20"/>
          <w:szCs w:val="20"/>
          <w:lang w:val="nb-NO"/>
        </w:rPr>
        <w:t xml:space="preserve">Prototypen av Regional RHT II 385/65R22.5 for tung last ble vist på IAA Commercial Vehicle Show 2010 i Hannover. Lastekapasiteten for dette dekket kan gi lette tilhengere med dreibare dobbelaksler en attraktiv lastekapasitet sammenlignet med konvensjonelle, treakslede tilhengere. De nye dekkene gir en lastekapasitet på 20 tonn på en dreibar dobbelaksel, sammenlignet med 24 tonn på de konvensjonelle tre dreibare akslene, siden de har en lasteindeks på 164 = 5 tonn i stedet for det vanlige 160 = 4,5 tonn. En semitrailer med dobbelaksel og en 4x2-trekkvogn kan få en maksimal bruttovekt på 38 tonn, sammenlignet med 40 tonn bruttovekt for en 4x2-trekkvogn med en treakslet semitrailer. Siden en dreibar dobbelaksel kan være omtrent ett tonn lettere enn tre dreibare aksler, betyr det at det bare er 1000 kg forskjell i lastekapasitet på de to. I tillegg vil driftskostnadene for en slik lett, dobbelakslet tilhenger være betydelig lavere enn mange treakslede tilhengere, og treakslede tilhengere kjører ofte med mindre enn maksimal kapasitet. Til sammen gir dette et veldig attraktivt potensiale for kostnadsbesparinger for operatører. </w:t>
      </w:r>
    </w:p>
    <w:p w:rsidR="00F144DD" w:rsidRPr="00FB28A0" w:rsidRDefault="00F144DD" w:rsidP="007547F2">
      <w:pPr>
        <w:tabs>
          <w:tab w:val="left" w:pos="7560"/>
          <w:tab w:val="left" w:pos="9000"/>
        </w:tabs>
        <w:spacing w:after="120" w:line="360" w:lineRule="auto"/>
        <w:jc w:val="both"/>
        <w:rPr>
          <w:rFonts w:ascii="Arial" w:hAnsi="Arial" w:cs="Arial"/>
          <w:sz w:val="20"/>
          <w:szCs w:val="20"/>
          <w:lang w:val="nb-NO"/>
        </w:rPr>
      </w:pPr>
      <w:r w:rsidRPr="00FB28A0">
        <w:rPr>
          <w:rFonts w:ascii="Arial" w:hAnsi="Arial" w:cs="Arial"/>
          <w:sz w:val="20"/>
          <w:szCs w:val="20"/>
          <w:lang w:val="nb-NO"/>
        </w:rPr>
        <w:t>Tunglastdekket har en ny stamme som er beregnet på å redusere den interne temperaturen for å sikre god kjørelengde og lang holdbarhet. Goodyear og Schmitz Cargobull har samarbeidet om utviklingen av dette dekket.</w:t>
      </w:r>
    </w:p>
    <w:p w:rsidR="00F144DD" w:rsidRPr="00FB28A0" w:rsidRDefault="00F144DD" w:rsidP="00307DCC">
      <w:pPr>
        <w:pStyle w:val="NormalWeb"/>
        <w:spacing w:before="0" w:beforeAutospacing="0" w:after="120" w:afterAutospacing="0" w:line="360" w:lineRule="auto"/>
        <w:jc w:val="both"/>
        <w:textAlignment w:val="baseline"/>
        <w:rPr>
          <w:rFonts w:ascii="Arial" w:hAnsi="Arial" w:cs="Arial"/>
          <w:sz w:val="20"/>
          <w:szCs w:val="20"/>
          <w:lang w:val="nb-NO"/>
        </w:rPr>
      </w:pPr>
      <w:r w:rsidRPr="00FB28A0">
        <w:rPr>
          <w:rFonts w:ascii="Arial" w:hAnsi="Arial" w:cs="Arial"/>
          <w:sz w:val="20"/>
          <w:szCs w:val="20"/>
          <w:lang w:val="nb-NO"/>
        </w:rPr>
        <w:t>Goodyear Regional RHT II kan mønsterskjæres og regummieres.</w:t>
      </w:r>
    </w:p>
    <w:bookmarkEnd w:id="0"/>
    <w:p w:rsidR="00F144DD" w:rsidRPr="00FB28A0" w:rsidRDefault="00F144DD" w:rsidP="002551E5">
      <w:pPr>
        <w:jc w:val="both"/>
        <w:outlineLvl w:val="0"/>
        <w:rPr>
          <w:rFonts w:ascii="Arial" w:hAnsi="Arial" w:cs="Arial"/>
          <w:b/>
          <w:sz w:val="22"/>
          <w:szCs w:val="22"/>
          <w:lang w:val="nb-NO"/>
        </w:rPr>
      </w:pPr>
      <w:r w:rsidRPr="00FB28A0">
        <w:rPr>
          <w:rFonts w:ascii="Arial" w:hAnsi="Arial" w:cs="Arial"/>
          <w:b/>
          <w:sz w:val="22"/>
          <w:szCs w:val="22"/>
          <w:lang w:val="nb-NO"/>
        </w:rPr>
        <w:t>Om Goodyear</w:t>
      </w:r>
    </w:p>
    <w:p w:rsidR="00F144DD" w:rsidRPr="00FB28A0" w:rsidRDefault="00F144DD" w:rsidP="00B40F1D">
      <w:pPr>
        <w:spacing w:after="120"/>
        <w:jc w:val="both"/>
        <w:rPr>
          <w:rFonts w:ascii="Arial" w:hAnsi="Arial" w:cs="Arial"/>
          <w:sz w:val="18"/>
          <w:szCs w:val="18"/>
          <w:lang w:val="nb-NO"/>
        </w:rPr>
      </w:pPr>
      <w:r w:rsidRPr="00FB28A0">
        <w:rPr>
          <w:rFonts w:ascii="Arial" w:hAnsi="Arial" w:cs="Arial"/>
          <w:sz w:val="18"/>
          <w:szCs w:val="18"/>
          <w:lang w:val="nb-NO"/>
        </w:rPr>
        <w:t xml:space="preserve">Goodyear er én av verdens ledende dekkprodusenter. De har cirka 72,000 ansatte og produserer sine produkter på 55 anlegg i 22 land over hele verden. De to innovasjonssentrene i Akron i Ohio og Colmar-Berg i Luxembourg arbeider med å utvikle førsteklasses produkter og tjenester som setter standarden for bransjen både når det gjelder teknologi og resultater. </w:t>
      </w:r>
    </w:p>
    <w:p w:rsidR="00F144DD" w:rsidRPr="00FB28A0" w:rsidRDefault="00F144DD" w:rsidP="00B40F1D">
      <w:pPr>
        <w:spacing w:after="120"/>
        <w:jc w:val="both"/>
        <w:rPr>
          <w:rFonts w:ascii="Arial" w:hAnsi="Arial" w:cs="Arial"/>
          <w:sz w:val="18"/>
          <w:szCs w:val="18"/>
          <w:lang w:val="nb-NO"/>
        </w:rPr>
      </w:pPr>
      <w:r w:rsidRPr="00FB28A0">
        <w:rPr>
          <w:rFonts w:ascii="Arial" w:hAnsi="Arial" w:cs="Arial"/>
          <w:sz w:val="18"/>
          <w:szCs w:val="18"/>
          <w:lang w:val="nb-NO"/>
        </w:rPr>
        <w:t>Goodyear Dunlop Europes utvalg av dekk for kommersielle kjøretøyer og busser omfatter mer enn 400 ulike dekktyper i i overkant av 55 dimensjoner. Mange av verdens ledende produsenter av kommersielle kjøretøyer monterer dekk fra Goodyear som standarddekk, inkludert DAF, Iveco, MAN, Mercedes-Benz, Renault Trucks, Scania og Volvo. Goodyear leverer også dekk til alle de største tilhengerprodusentene. Med Fleet First, som omfatter servicenettverket TruckForce, ServiceLine heldøgns veiassistanse, Mobility, FleetOnlineSolutions administrasjonssystem på Internett og Goodyear Retread Technologies, leverer Goodyear det største utvalget av tjenester i bransjen.</w:t>
      </w:r>
    </w:p>
    <w:p w:rsidR="00F144DD" w:rsidRPr="00FB28A0" w:rsidRDefault="00F144DD" w:rsidP="00935935">
      <w:pPr>
        <w:spacing w:after="120"/>
        <w:jc w:val="both"/>
        <w:rPr>
          <w:lang w:val="nb-NO"/>
        </w:rPr>
      </w:pPr>
      <w:r w:rsidRPr="00FB28A0">
        <w:rPr>
          <w:rFonts w:ascii="Arial" w:hAnsi="Arial" w:cs="Arial"/>
          <w:color w:val="000000"/>
          <w:sz w:val="18"/>
          <w:szCs w:val="18"/>
          <w:lang w:val="nb-NO"/>
        </w:rPr>
        <w:t>Du finner mer informasjon om Goodyear og deres produkter på www.goodyear.</w:t>
      </w:r>
      <w:r>
        <w:rPr>
          <w:rFonts w:ascii="Arial" w:hAnsi="Arial" w:cs="Arial"/>
          <w:color w:val="000000"/>
          <w:sz w:val="18"/>
          <w:szCs w:val="18"/>
          <w:lang w:val="nb-NO"/>
        </w:rPr>
        <w:t>no</w:t>
      </w:r>
    </w:p>
    <w:sectPr w:rsidR="00F144DD" w:rsidRPr="00FB28A0" w:rsidSect="0081242C">
      <w:headerReference w:type="default" r:id="rId9"/>
      <w:pgSz w:w="11906" w:h="16838"/>
      <w:pgMar w:top="2160" w:right="1826" w:bottom="108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44DD" w:rsidRDefault="00F144DD">
      <w:r>
        <w:separator/>
      </w:r>
    </w:p>
  </w:endnote>
  <w:endnote w:type="continuationSeparator" w:id="1">
    <w:p w:rsidR="00F144DD" w:rsidRDefault="00F144D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Helvetica 45 Ligh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44DD" w:rsidRDefault="00F144DD">
      <w:r>
        <w:separator/>
      </w:r>
    </w:p>
  </w:footnote>
  <w:footnote w:type="continuationSeparator" w:id="1">
    <w:p w:rsidR="00F144DD" w:rsidRDefault="00F144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44DD" w:rsidRDefault="00F144DD">
    <w:pPr>
      <w:pStyle w:val="Header"/>
    </w:pPr>
    <w:r w:rsidRPr="002B676B">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53.75pt;height:31.5pt;visibility:visible">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F62FB"/>
    <w:multiLevelType w:val="hybridMultilevel"/>
    <w:tmpl w:val="24066486"/>
    <w:lvl w:ilvl="0" w:tplc="07465DB8">
      <w:start w:val="1"/>
      <w:numFmt w:val="bullet"/>
      <w:lvlText w:val=""/>
      <w:lvlJc w:val="left"/>
      <w:pPr>
        <w:tabs>
          <w:tab w:val="num" w:pos="720"/>
        </w:tabs>
        <w:ind w:left="720" w:hanging="360"/>
      </w:pPr>
      <w:rPr>
        <w:rFonts w:ascii="Wingdings" w:hAnsi="Wingdings" w:hint="default"/>
      </w:rPr>
    </w:lvl>
    <w:lvl w:ilvl="1" w:tplc="C97AC1F6" w:tentative="1">
      <w:start w:val="1"/>
      <w:numFmt w:val="bullet"/>
      <w:lvlText w:val=""/>
      <w:lvlJc w:val="left"/>
      <w:pPr>
        <w:tabs>
          <w:tab w:val="num" w:pos="1440"/>
        </w:tabs>
        <w:ind w:left="1440" w:hanging="360"/>
      </w:pPr>
      <w:rPr>
        <w:rFonts w:ascii="Wingdings" w:hAnsi="Wingdings" w:hint="default"/>
      </w:rPr>
    </w:lvl>
    <w:lvl w:ilvl="2" w:tplc="A9C67A28" w:tentative="1">
      <w:start w:val="1"/>
      <w:numFmt w:val="bullet"/>
      <w:lvlText w:val=""/>
      <w:lvlJc w:val="left"/>
      <w:pPr>
        <w:tabs>
          <w:tab w:val="num" w:pos="2160"/>
        </w:tabs>
        <w:ind w:left="2160" w:hanging="360"/>
      </w:pPr>
      <w:rPr>
        <w:rFonts w:ascii="Wingdings" w:hAnsi="Wingdings" w:hint="default"/>
      </w:rPr>
    </w:lvl>
    <w:lvl w:ilvl="3" w:tplc="F49808F4" w:tentative="1">
      <w:start w:val="1"/>
      <w:numFmt w:val="bullet"/>
      <w:lvlText w:val=""/>
      <w:lvlJc w:val="left"/>
      <w:pPr>
        <w:tabs>
          <w:tab w:val="num" w:pos="2880"/>
        </w:tabs>
        <w:ind w:left="2880" w:hanging="360"/>
      </w:pPr>
      <w:rPr>
        <w:rFonts w:ascii="Wingdings" w:hAnsi="Wingdings" w:hint="default"/>
      </w:rPr>
    </w:lvl>
    <w:lvl w:ilvl="4" w:tplc="BA0E26A6" w:tentative="1">
      <w:start w:val="1"/>
      <w:numFmt w:val="bullet"/>
      <w:lvlText w:val=""/>
      <w:lvlJc w:val="left"/>
      <w:pPr>
        <w:tabs>
          <w:tab w:val="num" w:pos="3600"/>
        </w:tabs>
        <w:ind w:left="3600" w:hanging="360"/>
      </w:pPr>
      <w:rPr>
        <w:rFonts w:ascii="Wingdings" w:hAnsi="Wingdings" w:hint="default"/>
      </w:rPr>
    </w:lvl>
    <w:lvl w:ilvl="5" w:tplc="2278D9BC" w:tentative="1">
      <w:start w:val="1"/>
      <w:numFmt w:val="bullet"/>
      <w:lvlText w:val=""/>
      <w:lvlJc w:val="left"/>
      <w:pPr>
        <w:tabs>
          <w:tab w:val="num" w:pos="4320"/>
        </w:tabs>
        <w:ind w:left="4320" w:hanging="360"/>
      </w:pPr>
      <w:rPr>
        <w:rFonts w:ascii="Wingdings" w:hAnsi="Wingdings" w:hint="default"/>
      </w:rPr>
    </w:lvl>
    <w:lvl w:ilvl="6" w:tplc="9B2A0BEA" w:tentative="1">
      <w:start w:val="1"/>
      <w:numFmt w:val="bullet"/>
      <w:lvlText w:val=""/>
      <w:lvlJc w:val="left"/>
      <w:pPr>
        <w:tabs>
          <w:tab w:val="num" w:pos="5040"/>
        </w:tabs>
        <w:ind w:left="5040" w:hanging="360"/>
      </w:pPr>
      <w:rPr>
        <w:rFonts w:ascii="Wingdings" w:hAnsi="Wingdings" w:hint="default"/>
      </w:rPr>
    </w:lvl>
    <w:lvl w:ilvl="7" w:tplc="847E548A" w:tentative="1">
      <w:start w:val="1"/>
      <w:numFmt w:val="bullet"/>
      <w:lvlText w:val=""/>
      <w:lvlJc w:val="left"/>
      <w:pPr>
        <w:tabs>
          <w:tab w:val="num" w:pos="5760"/>
        </w:tabs>
        <w:ind w:left="5760" w:hanging="360"/>
      </w:pPr>
      <w:rPr>
        <w:rFonts w:ascii="Wingdings" w:hAnsi="Wingdings" w:hint="default"/>
      </w:rPr>
    </w:lvl>
    <w:lvl w:ilvl="8" w:tplc="90F0C74C" w:tentative="1">
      <w:start w:val="1"/>
      <w:numFmt w:val="bullet"/>
      <w:lvlText w:val=""/>
      <w:lvlJc w:val="left"/>
      <w:pPr>
        <w:tabs>
          <w:tab w:val="num" w:pos="6480"/>
        </w:tabs>
        <w:ind w:left="6480" w:hanging="360"/>
      </w:pPr>
      <w:rPr>
        <w:rFonts w:ascii="Wingdings" w:hAnsi="Wingdings" w:hint="default"/>
      </w:rPr>
    </w:lvl>
  </w:abstractNum>
  <w:abstractNum w:abstractNumId="1">
    <w:nsid w:val="144F5B9B"/>
    <w:multiLevelType w:val="hybridMultilevel"/>
    <w:tmpl w:val="2056D7BC"/>
    <w:lvl w:ilvl="0" w:tplc="E828D9CC">
      <w:start w:val="1"/>
      <w:numFmt w:val="bullet"/>
      <w:lvlText w:val="•"/>
      <w:lvlJc w:val="left"/>
      <w:pPr>
        <w:tabs>
          <w:tab w:val="num" w:pos="720"/>
        </w:tabs>
        <w:ind w:left="720" w:hanging="360"/>
      </w:pPr>
      <w:rPr>
        <w:rFonts w:ascii="Times New Roman" w:hAnsi="Times New Roman" w:hint="default"/>
      </w:rPr>
    </w:lvl>
    <w:lvl w:ilvl="1" w:tplc="ED183A0E" w:tentative="1">
      <w:start w:val="1"/>
      <w:numFmt w:val="bullet"/>
      <w:lvlText w:val="•"/>
      <w:lvlJc w:val="left"/>
      <w:pPr>
        <w:tabs>
          <w:tab w:val="num" w:pos="1440"/>
        </w:tabs>
        <w:ind w:left="1440" w:hanging="360"/>
      </w:pPr>
      <w:rPr>
        <w:rFonts w:ascii="Times New Roman" w:hAnsi="Times New Roman" w:hint="default"/>
      </w:rPr>
    </w:lvl>
    <w:lvl w:ilvl="2" w:tplc="97BCA1D8" w:tentative="1">
      <w:start w:val="1"/>
      <w:numFmt w:val="bullet"/>
      <w:lvlText w:val="•"/>
      <w:lvlJc w:val="left"/>
      <w:pPr>
        <w:tabs>
          <w:tab w:val="num" w:pos="2160"/>
        </w:tabs>
        <w:ind w:left="2160" w:hanging="360"/>
      </w:pPr>
      <w:rPr>
        <w:rFonts w:ascii="Times New Roman" w:hAnsi="Times New Roman" w:hint="default"/>
      </w:rPr>
    </w:lvl>
    <w:lvl w:ilvl="3" w:tplc="47923A76" w:tentative="1">
      <w:start w:val="1"/>
      <w:numFmt w:val="bullet"/>
      <w:lvlText w:val="•"/>
      <w:lvlJc w:val="left"/>
      <w:pPr>
        <w:tabs>
          <w:tab w:val="num" w:pos="2880"/>
        </w:tabs>
        <w:ind w:left="2880" w:hanging="360"/>
      </w:pPr>
      <w:rPr>
        <w:rFonts w:ascii="Times New Roman" w:hAnsi="Times New Roman" w:hint="default"/>
      </w:rPr>
    </w:lvl>
    <w:lvl w:ilvl="4" w:tplc="20E2FA9C" w:tentative="1">
      <w:start w:val="1"/>
      <w:numFmt w:val="bullet"/>
      <w:lvlText w:val="•"/>
      <w:lvlJc w:val="left"/>
      <w:pPr>
        <w:tabs>
          <w:tab w:val="num" w:pos="3600"/>
        </w:tabs>
        <w:ind w:left="3600" w:hanging="360"/>
      </w:pPr>
      <w:rPr>
        <w:rFonts w:ascii="Times New Roman" w:hAnsi="Times New Roman" w:hint="default"/>
      </w:rPr>
    </w:lvl>
    <w:lvl w:ilvl="5" w:tplc="F3F0CF62" w:tentative="1">
      <w:start w:val="1"/>
      <w:numFmt w:val="bullet"/>
      <w:lvlText w:val="•"/>
      <w:lvlJc w:val="left"/>
      <w:pPr>
        <w:tabs>
          <w:tab w:val="num" w:pos="4320"/>
        </w:tabs>
        <w:ind w:left="4320" w:hanging="360"/>
      </w:pPr>
      <w:rPr>
        <w:rFonts w:ascii="Times New Roman" w:hAnsi="Times New Roman" w:hint="default"/>
      </w:rPr>
    </w:lvl>
    <w:lvl w:ilvl="6" w:tplc="5E7652F6" w:tentative="1">
      <w:start w:val="1"/>
      <w:numFmt w:val="bullet"/>
      <w:lvlText w:val="•"/>
      <w:lvlJc w:val="left"/>
      <w:pPr>
        <w:tabs>
          <w:tab w:val="num" w:pos="5040"/>
        </w:tabs>
        <w:ind w:left="5040" w:hanging="360"/>
      </w:pPr>
      <w:rPr>
        <w:rFonts w:ascii="Times New Roman" w:hAnsi="Times New Roman" w:hint="default"/>
      </w:rPr>
    </w:lvl>
    <w:lvl w:ilvl="7" w:tplc="30687B30" w:tentative="1">
      <w:start w:val="1"/>
      <w:numFmt w:val="bullet"/>
      <w:lvlText w:val="•"/>
      <w:lvlJc w:val="left"/>
      <w:pPr>
        <w:tabs>
          <w:tab w:val="num" w:pos="5760"/>
        </w:tabs>
        <w:ind w:left="5760" w:hanging="360"/>
      </w:pPr>
      <w:rPr>
        <w:rFonts w:ascii="Times New Roman" w:hAnsi="Times New Roman" w:hint="default"/>
      </w:rPr>
    </w:lvl>
    <w:lvl w:ilvl="8" w:tplc="7828F6F6" w:tentative="1">
      <w:start w:val="1"/>
      <w:numFmt w:val="bullet"/>
      <w:lvlText w:val="•"/>
      <w:lvlJc w:val="left"/>
      <w:pPr>
        <w:tabs>
          <w:tab w:val="num" w:pos="6480"/>
        </w:tabs>
        <w:ind w:left="6480" w:hanging="360"/>
      </w:pPr>
      <w:rPr>
        <w:rFonts w:ascii="Times New Roman" w:hAnsi="Times New Roman" w:hint="default"/>
      </w:rPr>
    </w:lvl>
  </w:abstractNum>
  <w:abstractNum w:abstractNumId="2">
    <w:nsid w:val="1D0B7903"/>
    <w:multiLevelType w:val="hybridMultilevel"/>
    <w:tmpl w:val="85A47920"/>
    <w:lvl w:ilvl="0" w:tplc="21E8375E">
      <w:start w:val="1"/>
      <w:numFmt w:val="bullet"/>
      <w:lvlText w:val="•"/>
      <w:lvlJc w:val="left"/>
      <w:pPr>
        <w:tabs>
          <w:tab w:val="num" w:pos="720"/>
        </w:tabs>
        <w:ind w:left="720" w:hanging="360"/>
      </w:pPr>
      <w:rPr>
        <w:rFonts w:ascii="Times New Roman" w:hAnsi="Times New Roman" w:hint="default"/>
      </w:rPr>
    </w:lvl>
    <w:lvl w:ilvl="1" w:tplc="91D66A78" w:tentative="1">
      <w:start w:val="1"/>
      <w:numFmt w:val="bullet"/>
      <w:lvlText w:val="•"/>
      <w:lvlJc w:val="left"/>
      <w:pPr>
        <w:tabs>
          <w:tab w:val="num" w:pos="1440"/>
        </w:tabs>
        <w:ind w:left="1440" w:hanging="360"/>
      </w:pPr>
      <w:rPr>
        <w:rFonts w:ascii="Times New Roman" w:hAnsi="Times New Roman" w:hint="default"/>
      </w:rPr>
    </w:lvl>
    <w:lvl w:ilvl="2" w:tplc="0186D02C" w:tentative="1">
      <w:start w:val="1"/>
      <w:numFmt w:val="bullet"/>
      <w:lvlText w:val="•"/>
      <w:lvlJc w:val="left"/>
      <w:pPr>
        <w:tabs>
          <w:tab w:val="num" w:pos="2160"/>
        </w:tabs>
        <w:ind w:left="2160" w:hanging="360"/>
      </w:pPr>
      <w:rPr>
        <w:rFonts w:ascii="Times New Roman" w:hAnsi="Times New Roman" w:hint="default"/>
      </w:rPr>
    </w:lvl>
    <w:lvl w:ilvl="3" w:tplc="BB344616" w:tentative="1">
      <w:start w:val="1"/>
      <w:numFmt w:val="bullet"/>
      <w:lvlText w:val="•"/>
      <w:lvlJc w:val="left"/>
      <w:pPr>
        <w:tabs>
          <w:tab w:val="num" w:pos="2880"/>
        </w:tabs>
        <w:ind w:left="2880" w:hanging="360"/>
      </w:pPr>
      <w:rPr>
        <w:rFonts w:ascii="Times New Roman" w:hAnsi="Times New Roman" w:hint="default"/>
      </w:rPr>
    </w:lvl>
    <w:lvl w:ilvl="4" w:tplc="4CBE7FB2" w:tentative="1">
      <w:start w:val="1"/>
      <w:numFmt w:val="bullet"/>
      <w:lvlText w:val="•"/>
      <w:lvlJc w:val="left"/>
      <w:pPr>
        <w:tabs>
          <w:tab w:val="num" w:pos="3600"/>
        </w:tabs>
        <w:ind w:left="3600" w:hanging="360"/>
      </w:pPr>
      <w:rPr>
        <w:rFonts w:ascii="Times New Roman" w:hAnsi="Times New Roman" w:hint="default"/>
      </w:rPr>
    </w:lvl>
    <w:lvl w:ilvl="5" w:tplc="33EE9F52" w:tentative="1">
      <w:start w:val="1"/>
      <w:numFmt w:val="bullet"/>
      <w:lvlText w:val="•"/>
      <w:lvlJc w:val="left"/>
      <w:pPr>
        <w:tabs>
          <w:tab w:val="num" w:pos="4320"/>
        </w:tabs>
        <w:ind w:left="4320" w:hanging="360"/>
      </w:pPr>
      <w:rPr>
        <w:rFonts w:ascii="Times New Roman" w:hAnsi="Times New Roman" w:hint="default"/>
      </w:rPr>
    </w:lvl>
    <w:lvl w:ilvl="6" w:tplc="8BF0DF60" w:tentative="1">
      <w:start w:val="1"/>
      <w:numFmt w:val="bullet"/>
      <w:lvlText w:val="•"/>
      <w:lvlJc w:val="left"/>
      <w:pPr>
        <w:tabs>
          <w:tab w:val="num" w:pos="5040"/>
        </w:tabs>
        <w:ind w:left="5040" w:hanging="360"/>
      </w:pPr>
      <w:rPr>
        <w:rFonts w:ascii="Times New Roman" w:hAnsi="Times New Roman" w:hint="default"/>
      </w:rPr>
    </w:lvl>
    <w:lvl w:ilvl="7" w:tplc="1B20EB20" w:tentative="1">
      <w:start w:val="1"/>
      <w:numFmt w:val="bullet"/>
      <w:lvlText w:val="•"/>
      <w:lvlJc w:val="left"/>
      <w:pPr>
        <w:tabs>
          <w:tab w:val="num" w:pos="5760"/>
        </w:tabs>
        <w:ind w:left="5760" w:hanging="360"/>
      </w:pPr>
      <w:rPr>
        <w:rFonts w:ascii="Times New Roman" w:hAnsi="Times New Roman" w:hint="default"/>
      </w:rPr>
    </w:lvl>
    <w:lvl w:ilvl="8" w:tplc="CF9C3B54" w:tentative="1">
      <w:start w:val="1"/>
      <w:numFmt w:val="bullet"/>
      <w:lvlText w:val="•"/>
      <w:lvlJc w:val="left"/>
      <w:pPr>
        <w:tabs>
          <w:tab w:val="num" w:pos="6480"/>
        </w:tabs>
        <w:ind w:left="6480" w:hanging="360"/>
      </w:pPr>
      <w:rPr>
        <w:rFonts w:ascii="Times New Roman" w:hAnsi="Times New Roman" w:hint="default"/>
      </w:rPr>
    </w:lvl>
  </w:abstractNum>
  <w:abstractNum w:abstractNumId="3">
    <w:nsid w:val="1F000A6C"/>
    <w:multiLevelType w:val="hybridMultilevel"/>
    <w:tmpl w:val="EEE42F88"/>
    <w:lvl w:ilvl="0" w:tplc="B9EE6C18">
      <w:start w:val="1"/>
      <w:numFmt w:val="bullet"/>
      <w:lvlText w:val="•"/>
      <w:lvlJc w:val="left"/>
      <w:pPr>
        <w:tabs>
          <w:tab w:val="num" w:pos="720"/>
        </w:tabs>
        <w:ind w:left="720" w:hanging="360"/>
      </w:pPr>
      <w:rPr>
        <w:rFonts w:ascii="Times New Roman" w:hAnsi="Times New Roman" w:hint="default"/>
      </w:rPr>
    </w:lvl>
    <w:lvl w:ilvl="1" w:tplc="5B7C1774" w:tentative="1">
      <w:start w:val="1"/>
      <w:numFmt w:val="bullet"/>
      <w:lvlText w:val="•"/>
      <w:lvlJc w:val="left"/>
      <w:pPr>
        <w:tabs>
          <w:tab w:val="num" w:pos="1440"/>
        </w:tabs>
        <w:ind w:left="1440" w:hanging="360"/>
      </w:pPr>
      <w:rPr>
        <w:rFonts w:ascii="Times New Roman" w:hAnsi="Times New Roman" w:hint="default"/>
      </w:rPr>
    </w:lvl>
    <w:lvl w:ilvl="2" w:tplc="1FE61E88" w:tentative="1">
      <w:start w:val="1"/>
      <w:numFmt w:val="bullet"/>
      <w:lvlText w:val="•"/>
      <w:lvlJc w:val="left"/>
      <w:pPr>
        <w:tabs>
          <w:tab w:val="num" w:pos="2160"/>
        </w:tabs>
        <w:ind w:left="2160" w:hanging="360"/>
      </w:pPr>
      <w:rPr>
        <w:rFonts w:ascii="Times New Roman" w:hAnsi="Times New Roman" w:hint="default"/>
      </w:rPr>
    </w:lvl>
    <w:lvl w:ilvl="3" w:tplc="BA3C055C" w:tentative="1">
      <w:start w:val="1"/>
      <w:numFmt w:val="bullet"/>
      <w:lvlText w:val="•"/>
      <w:lvlJc w:val="left"/>
      <w:pPr>
        <w:tabs>
          <w:tab w:val="num" w:pos="2880"/>
        </w:tabs>
        <w:ind w:left="2880" w:hanging="360"/>
      </w:pPr>
      <w:rPr>
        <w:rFonts w:ascii="Times New Roman" w:hAnsi="Times New Roman" w:hint="default"/>
      </w:rPr>
    </w:lvl>
    <w:lvl w:ilvl="4" w:tplc="0BE0E49A" w:tentative="1">
      <w:start w:val="1"/>
      <w:numFmt w:val="bullet"/>
      <w:lvlText w:val="•"/>
      <w:lvlJc w:val="left"/>
      <w:pPr>
        <w:tabs>
          <w:tab w:val="num" w:pos="3600"/>
        </w:tabs>
        <w:ind w:left="3600" w:hanging="360"/>
      </w:pPr>
      <w:rPr>
        <w:rFonts w:ascii="Times New Roman" w:hAnsi="Times New Roman" w:hint="default"/>
      </w:rPr>
    </w:lvl>
    <w:lvl w:ilvl="5" w:tplc="6E808716" w:tentative="1">
      <w:start w:val="1"/>
      <w:numFmt w:val="bullet"/>
      <w:lvlText w:val="•"/>
      <w:lvlJc w:val="left"/>
      <w:pPr>
        <w:tabs>
          <w:tab w:val="num" w:pos="4320"/>
        </w:tabs>
        <w:ind w:left="4320" w:hanging="360"/>
      </w:pPr>
      <w:rPr>
        <w:rFonts w:ascii="Times New Roman" w:hAnsi="Times New Roman" w:hint="default"/>
      </w:rPr>
    </w:lvl>
    <w:lvl w:ilvl="6" w:tplc="CCA461A6" w:tentative="1">
      <w:start w:val="1"/>
      <w:numFmt w:val="bullet"/>
      <w:lvlText w:val="•"/>
      <w:lvlJc w:val="left"/>
      <w:pPr>
        <w:tabs>
          <w:tab w:val="num" w:pos="5040"/>
        </w:tabs>
        <w:ind w:left="5040" w:hanging="360"/>
      </w:pPr>
      <w:rPr>
        <w:rFonts w:ascii="Times New Roman" w:hAnsi="Times New Roman" w:hint="default"/>
      </w:rPr>
    </w:lvl>
    <w:lvl w:ilvl="7" w:tplc="762CE4A0" w:tentative="1">
      <w:start w:val="1"/>
      <w:numFmt w:val="bullet"/>
      <w:lvlText w:val="•"/>
      <w:lvlJc w:val="left"/>
      <w:pPr>
        <w:tabs>
          <w:tab w:val="num" w:pos="5760"/>
        </w:tabs>
        <w:ind w:left="5760" w:hanging="360"/>
      </w:pPr>
      <w:rPr>
        <w:rFonts w:ascii="Times New Roman" w:hAnsi="Times New Roman" w:hint="default"/>
      </w:rPr>
    </w:lvl>
    <w:lvl w:ilvl="8" w:tplc="66F090C2" w:tentative="1">
      <w:start w:val="1"/>
      <w:numFmt w:val="bullet"/>
      <w:lvlText w:val="•"/>
      <w:lvlJc w:val="left"/>
      <w:pPr>
        <w:tabs>
          <w:tab w:val="num" w:pos="6480"/>
        </w:tabs>
        <w:ind w:left="6480" w:hanging="360"/>
      </w:pPr>
      <w:rPr>
        <w:rFonts w:ascii="Times New Roman" w:hAnsi="Times New Roman" w:hint="default"/>
      </w:rPr>
    </w:lvl>
  </w:abstractNum>
  <w:abstractNum w:abstractNumId="4">
    <w:nsid w:val="22B246CC"/>
    <w:multiLevelType w:val="hybridMultilevel"/>
    <w:tmpl w:val="7D84A190"/>
    <w:lvl w:ilvl="0" w:tplc="98102F90">
      <w:start w:val="1"/>
      <w:numFmt w:val="bullet"/>
      <w:lvlText w:val=""/>
      <w:lvlJc w:val="left"/>
      <w:pPr>
        <w:tabs>
          <w:tab w:val="num" w:pos="720"/>
        </w:tabs>
        <w:ind w:left="720" w:hanging="360"/>
      </w:pPr>
      <w:rPr>
        <w:rFonts w:ascii="Wingdings" w:hAnsi="Wingdings" w:hint="default"/>
      </w:rPr>
    </w:lvl>
    <w:lvl w:ilvl="1" w:tplc="0B90CD24" w:tentative="1">
      <w:start w:val="1"/>
      <w:numFmt w:val="bullet"/>
      <w:lvlText w:val=""/>
      <w:lvlJc w:val="left"/>
      <w:pPr>
        <w:tabs>
          <w:tab w:val="num" w:pos="1440"/>
        </w:tabs>
        <w:ind w:left="1440" w:hanging="360"/>
      </w:pPr>
      <w:rPr>
        <w:rFonts w:ascii="Wingdings" w:hAnsi="Wingdings" w:hint="default"/>
      </w:rPr>
    </w:lvl>
    <w:lvl w:ilvl="2" w:tplc="79CC026C" w:tentative="1">
      <w:start w:val="1"/>
      <w:numFmt w:val="bullet"/>
      <w:lvlText w:val=""/>
      <w:lvlJc w:val="left"/>
      <w:pPr>
        <w:tabs>
          <w:tab w:val="num" w:pos="2160"/>
        </w:tabs>
        <w:ind w:left="2160" w:hanging="360"/>
      </w:pPr>
      <w:rPr>
        <w:rFonts w:ascii="Wingdings" w:hAnsi="Wingdings" w:hint="default"/>
      </w:rPr>
    </w:lvl>
    <w:lvl w:ilvl="3" w:tplc="220209BA" w:tentative="1">
      <w:start w:val="1"/>
      <w:numFmt w:val="bullet"/>
      <w:lvlText w:val=""/>
      <w:lvlJc w:val="left"/>
      <w:pPr>
        <w:tabs>
          <w:tab w:val="num" w:pos="2880"/>
        </w:tabs>
        <w:ind w:left="2880" w:hanging="360"/>
      </w:pPr>
      <w:rPr>
        <w:rFonts w:ascii="Wingdings" w:hAnsi="Wingdings" w:hint="default"/>
      </w:rPr>
    </w:lvl>
    <w:lvl w:ilvl="4" w:tplc="5F76984A" w:tentative="1">
      <w:start w:val="1"/>
      <w:numFmt w:val="bullet"/>
      <w:lvlText w:val=""/>
      <w:lvlJc w:val="left"/>
      <w:pPr>
        <w:tabs>
          <w:tab w:val="num" w:pos="3600"/>
        </w:tabs>
        <w:ind w:left="3600" w:hanging="360"/>
      </w:pPr>
      <w:rPr>
        <w:rFonts w:ascii="Wingdings" w:hAnsi="Wingdings" w:hint="default"/>
      </w:rPr>
    </w:lvl>
    <w:lvl w:ilvl="5" w:tplc="E8F47034" w:tentative="1">
      <w:start w:val="1"/>
      <w:numFmt w:val="bullet"/>
      <w:lvlText w:val=""/>
      <w:lvlJc w:val="left"/>
      <w:pPr>
        <w:tabs>
          <w:tab w:val="num" w:pos="4320"/>
        </w:tabs>
        <w:ind w:left="4320" w:hanging="360"/>
      </w:pPr>
      <w:rPr>
        <w:rFonts w:ascii="Wingdings" w:hAnsi="Wingdings" w:hint="default"/>
      </w:rPr>
    </w:lvl>
    <w:lvl w:ilvl="6" w:tplc="E29E76B2" w:tentative="1">
      <w:start w:val="1"/>
      <w:numFmt w:val="bullet"/>
      <w:lvlText w:val=""/>
      <w:lvlJc w:val="left"/>
      <w:pPr>
        <w:tabs>
          <w:tab w:val="num" w:pos="5040"/>
        </w:tabs>
        <w:ind w:left="5040" w:hanging="360"/>
      </w:pPr>
      <w:rPr>
        <w:rFonts w:ascii="Wingdings" w:hAnsi="Wingdings" w:hint="default"/>
      </w:rPr>
    </w:lvl>
    <w:lvl w:ilvl="7" w:tplc="296C7222" w:tentative="1">
      <w:start w:val="1"/>
      <w:numFmt w:val="bullet"/>
      <w:lvlText w:val=""/>
      <w:lvlJc w:val="left"/>
      <w:pPr>
        <w:tabs>
          <w:tab w:val="num" w:pos="5760"/>
        </w:tabs>
        <w:ind w:left="5760" w:hanging="360"/>
      </w:pPr>
      <w:rPr>
        <w:rFonts w:ascii="Wingdings" w:hAnsi="Wingdings" w:hint="default"/>
      </w:rPr>
    </w:lvl>
    <w:lvl w:ilvl="8" w:tplc="F49EE0D0" w:tentative="1">
      <w:start w:val="1"/>
      <w:numFmt w:val="bullet"/>
      <w:lvlText w:val=""/>
      <w:lvlJc w:val="left"/>
      <w:pPr>
        <w:tabs>
          <w:tab w:val="num" w:pos="6480"/>
        </w:tabs>
        <w:ind w:left="6480" w:hanging="360"/>
      </w:pPr>
      <w:rPr>
        <w:rFonts w:ascii="Wingdings" w:hAnsi="Wingdings" w:hint="default"/>
      </w:rPr>
    </w:lvl>
  </w:abstractNum>
  <w:abstractNum w:abstractNumId="5">
    <w:nsid w:val="29171D1E"/>
    <w:multiLevelType w:val="hybridMultilevel"/>
    <w:tmpl w:val="5E4AC21A"/>
    <w:lvl w:ilvl="0" w:tplc="DAA22DD8">
      <w:start w:val="1"/>
      <w:numFmt w:val="bullet"/>
      <w:lvlText w:val="•"/>
      <w:lvlJc w:val="left"/>
      <w:pPr>
        <w:tabs>
          <w:tab w:val="num" w:pos="720"/>
        </w:tabs>
        <w:ind w:left="720" w:hanging="360"/>
      </w:pPr>
      <w:rPr>
        <w:rFonts w:ascii="Times New Roman" w:hAnsi="Times New Roman" w:hint="default"/>
      </w:rPr>
    </w:lvl>
    <w:lvl w:ilvl="1" w:tplc="4650C796" w:tentative="1">
      <w:start w:val="1"/>
      <w:numFmt w:val="bullet"/>
      <w:lvlText w:val="•"/>
      <w:lvlJc w:val="left"/>
      <w:pPr>
        <w:tabs>
          <w:tab w:val="num" w:pos="1440"/>
        </w:tabs>
        <w:ind w:left="1440" w:hanging="360"/>
      </w:pPr>
      <w:rPr>
        <w:rFonts w:ascii="Times New Roman" w:hAnsi="Times New Roman" w:hint="default"/>
      </w:rPr>
    </w:lvl>
    <w:lvl w:ilvl="2" w:tplc="552CEABE" w:tentative="1">
      <w:start w:val="1"/>
      <w:numFmt w:val="bullet"/>
      <w:lvlText w:val="•"/>
      <w:lvlJc w:val="left"/>
      <w:pPr>
        <w:tabs>
          <w:tab w:val="num" w:pos="2160"/>
        </w:tabs>
        <w:ind w:left="2160" w:hanging="360"/>
      </w:pPr>
      <w:rPr>
        <w:rFonts w:ascii="Times New Roman" w:hAnsi="Times New Roman" w:hint="default"/>
      </w:rPr>
    </w:lvl>
    <w:lvl w:ilvl="3" w:tplc="3808D466" w:tentative="1">
      <w:start w:val="1"/>
      <w:numFmt w:val="bullet"/>
      <w:lvlText w:val="•"/>
      <w:lvlJc w:val="left"/>
      <w:pPr>
        <w:tabs>
          <w:tab w:val="num" w:pos="2880"/>
        </w:tabs>
        <w:ind w:left="2880" w:hanging="360"/>
      </w:pPr>
      <w:rPr>
        <w:rFonts w:ascii="Times New Roman" w:hAnsi="Times New Roman" w:hint="default"/>
      </w:rPr>
    </w:lvl>
    <w:lvl w:ilvl="4" w:tplc="DE6C8918" w:tentative="1">
      <w:start w:val="1"/>
      <w:numFmt w:val="bullet"/>
      <w:lvlText w:val="•"/>
      <w:lvlJc w:val="left"/>
      <w:pPr>
        <w:tabs>
          <w:tab w:val="num" w:pos="3600"/>
        </w:tabs>
        <w:ind w:left="3600" w:hanging="360"/>
      </w:pPr>
      <w:rPr>
        <w:rFonts w:ascii="Times New Roman" w:hAnsi="Times New Roman" w:hint="default"/>
      </w:rPr>
    </w:lvl>
    <w:lvl w:ilvl="5" w:tplc="F9F60C54" w:tentative="1">
      <w:start w:val="1"/>
      <w:numFmt w:val="bullet"/>
      <w:lvlText w:val="•"/>
      <w:lvlJc w:val="left"/>
      <w:pPr>
        <w:tabs>
          <w:tab w:val="num" w:pos="4320"/>
        </w:tabs>
        <w:ind w:left="4320" w:hanging="360"/>
      </w:pPr>
      <w:rPr>
        <w:rFonts w:ascii="Times New Roman" w:hAnsi="Times New Roman" w:hint="default"/>
      </w:rPr>
    </w:lvl>
    <w:lvl w:ilvl="6" w:tplc="3A8EC818" w:tentative="1">
      <w:start w:val="1"/>
      <w:numFmt w:val="bullet"/>
      <w:lvlText w:val="•"/>
      <w:lvlJc w:val="left"/>
      <w:pPr>
        <w:tabs>
          <w:tab w:val="num" w:pos="5040"/>
        </w:tabs>
        <w:ind w:left="5040" w:hanging="360"/>
      </w:pPr>
      <w:rPr>
        <w:rFonts w:ascii="Times New Roman" w:hAnsi="Times New Roman" w:hint="default"/>
      </w:rPr>
    </w:lvl>
    <w:lvl w:ilvl="7" w:tplc="E6B8A64C" w:tentative="1">
      <w:start w:val="1"/>
      <w:numFmt w:val="bullet"/>
      <w:lvlText w:val="•"/>
      <w:lvlJc w:val="left"/>
      <w:pPr>
        <w:tabs>
          <w:tab w:val="num" w:pos="5760"/>
        </w:tabs>
        <w:ind w:left="5760" w:hanging="360"/>
      </w:pPr>
      <w:rPr>
        <w:rFonts w:ascii="Times New Roman" w:hAnsi="Times New Roman" w:hint="default"/>
      </w:rPr>
    </w:lvl>
    <w:lvl w:ilvl="8" w:tplc="3FB0CB74" w:tentative="1">
      <w:start w:val="1"/>
      <w:numFmt w:val="bullet"/>
      <w:lvlText w:val="•"/>
      <w:lvlJc w:val="left"/>
      <w:pPr>
        <w:tabs>
          <w:tab w:val="num" w:pos="6480"/>
        </w:tabs>
        <w:ind w:left="6480" w:hanging="360"/>
      </w:pPr>
      <w:rPr>
        <w:rFonts w:ascii="Times New Roman" w:hAnsi="Times New Roman" w:hint="default"/>
      </w:rPr>
    </w:lvl>
  </w:abstractNum>
  <w:abstractNum w:abstractNumId="6">
    <w:nsid w:val="31787ECB"/>
    <w:multiLevelType w:val="hybridMultilevel"/>
    <w:tmpl w:val="0838A57C"/>
    <w:lvl w:ilvl="0" w:tplc="2436961A">
      <w:start w:val="1"/>
      <w:numFmt w:val="bullet"/>
      <w:lvlText w:val="•"/>
      <w:lvlJc w:val="left"/>
      <w:pPr>
        <w:tabs>
          <w:tab w:val="num" w:pos="720"/>
        </w:tabs>
        <w:ind w:left="720" w:hanging="360"/>
      </w:pPr>
      <w:rPr>
        <w:rFonts w:ascii="Times New Roman" w:hAnsi="Times New Roman" w:hint="default"/>
      </w:rPr>
    </w:lvl>
    <w:lvl w:ilvl="1" w:tplc="FD684056" w:tentative="1">
      <w:start w:val="1"/>
      <w:numFmt w:val="bullet"/>
      <w:lvlText w:val="•"/>
      <w:lvlJc w:val="left"/>
      <w:pPr>
        <w:tabs>
          <w:tab w:val="num" w:pos="1440"/>
        </w:tabs>
        <w:ind w:left="1440" w:hanging="360"/>
      </w:pPr>
      <w:rPr>
        <w:rFonts w:ascii="Times New Roman" w:hAnsi="Times New Roman" w:hint="default"/>
      </w:rPr>
    </w:lvl>
    <w:lvl w:ilvl="2" w:tplc="8D662588" w:tentative="1">
      <w:start w:val="1"/>
      <w:numFmt w:val="bullet"/>
      <w:lvlText w:val="•"/>
      <w:lvlJc w:val="left"/>
      <w:pPr>
        <w:tabs>
          <w:tab w:val="num" w:pos="2160"/>
        </w:tabs>
        <w:ind w:left="2160" w:hanging="360"/>
      </w:pPr>
      <w:rPr>
        <w:rFonts w:ascii="Times New Roman" w:hAnsi="Times New Roman" w:hint="default"/>
      </w:rPr>
    </w:lvl>
    <w:lvl w:ilvl="3" w:tplc="2306E326" w:tentative="1">
      <w:start w:val="1"/>
      <w:numFmt w:val="bullet"/>
      <w:lvlText w:val="•"/>
      <w:lvlJc w:val="left"/>
      <w:pPr>
        <w:tabs>
          <w:tab w:val="num" w:pos="2880"/>
        </w:tabs>
        <w:ind w:left="2880" w:hanging="360"/>
      </w:pPr>
      <w:rPr>
        <w:rFonts w:ascii="Times New Roman" w:hAnsi="Times New Roman" w:hint="default"/>
      </w:rPr>
    </w:lvl>
    <w:lvl w:ilvl="4" w:tplc="D044655E" w:tentative="1">
      <w:start w:val="1"/>
      <w:numFmt w:val="bullet"/>
      <w:lvlText w:val="•"/>
      <w:lvlJc w:val="left"/>
      <w:pPr>
        <w:tabs>
          <w:tab w:val="num" w:pos="3600"/>
        </w:tabs>
        <w:ind w:left="3600" w:hanging="360"/>
      </w:pPr>
      <w:rPr>
        <w:rFonts w:ascii="Times New Roman" w:hAnsi="Times New Roman" w:hint="default"/>
      </w:rPr>
    </w:lvl>
    <w:lvl w:ilvl="5" w:tplc="44E4722C" w:tentative="1">
      <w:start w:val="1"/>
      <w:numFmt w:val="bullet"/>
      <w:lvlText w:val="•"/>
      <w:lvlJc w:val="left"/>
      <w:pPr>
        <w:tabs>
          <w:tab w:val="num" w:pos="4320"/>
        </w:tabs>
        <w:ind w:left="4320" w:hanging="360"/>
      </w:pPr>
      <w:rPr>
        <w:rFonts w:ascii="Times New Roman" w:hAnsi="Times New Roman" w:hint="default"/>
      </w:rPr>
    </w:lvl>
    <w:lvl w:ilvl="6" w:tplc="98FEC59E" w:tentative="1">
      <w:start w:val="1"/>
      <w:numFmt w:val="bullet"/>
      <w:lvlText w:val="•"/>
      <w:lvlJc w:val="left"/>
      <w:pPr>
        <w:tabs>
          <w:tab w:val="num" w:pos="5040"/>
        </w:tabs>
        <w:ind w:left="5040" w:hanging="360"/>
      </w:pPr>
      <w:rPr>
        <w:rFonts w:ascii="Times New Roman" w:hAnsi="Times New Roman" w:hint="default"/>
      </w:rPr>
    </w:lvl>
    <w:lvl w:ilvl="7" w:tplc="F2402542" w:tentative="1">
      <w:start w:val="1"/>
      <w:numFmt w:val="bullet"/>
      <w:lvlText w:val="•"/>
      <w:lvlJc w:val="left"/>
      <w:pPr>
        <w:tabs>
          <w:tab w:val="num" w:pos="5760"/>
        </w:tabs>
        <w:ind w:left="5760" w:hanging="360"/>
      </w:pPr>
      <w:rPr>
        <w:rFonts w:ascii="Times New Roman" w:hAnsi="Times New Roman" w:hint="default"/>
      </w:rPr>
    </w:lvl>
    <w:lvl w:ilvl="8" w:tplc="E2E61AEC" w:tentative="1">
      <w:start w:val="1"/>
      <w:numFmt w:val="bullet"/>
      <w:lvlText w:val="•"/>
      <w:lvlJc w:val="left"/>
      <w:pPr>
        <w:tabs>
          <w:tab w:val="num" w:pos="6480"/>
        </w:tabs>
        <w:ind w:left="6480" w:hanging="360"/>
      </w:pPr>
      <w:rPr>
        <w:rFonts w:ascii="Times New Roman" w:hAnsi="Times New Roman" w:hint="default"/>
      </w:rPr>
    </w:lvl>
  </w:abstractNum>
  <w:abstractNum w:abstractNumId="7">
    <w:nsid w:val="3A42268A"/>
    <w:multiLevelType w:val="hybridMultilevel"/>
    <w:tmpl w:val="806E7BC0"/>
    <w:lvl w:ilvl="0" w:tplc="F5AC6486">
      <w:start w:val="1"/>
      <w:numFmt w:val="bullet"/>
      <w:lvlText w:val="•"/>
      <w:lvlJc w:val="left"/>
      <w:pPr>
        <w:tabs>
          <w:tab w:val="num" w:pos="720"/>
        </w:tabs>
        <w:ind w:left="720" w:hanging="360"/>
      </w:pPr>
      <w:rPr>
        <w:rFonts w:ascii="Times New Roman" w:hAnsi="Times New Roman" w:hint="default"/>
      </w:rPr>
    </w:lvl>
    <w:lvl w:ilvl="1" w:tplc="F07A395A" w:tentative="1">
      <w:start w:val="1"/>
      <w:numFmt w:val="bullet"/>
      <w:lvlText w:val="•"/>
      <w:lvlJc w:val="left"/>
      <w:pPr>
        <w:tabs>
          <w:tab w:val="num" w:pos="1440"/>
        </w:tabs>
        <w:ind w:left="1440" w:hanging="360"/>
      </w:pPr>
      <w:rPr>
        <w:rFonts w:ascii="Times New Roman" w:hAnsi="Times New Roman" w:hint="default"/>
      </w:rPr>
    </w:lvl>
    <w:lvl w:ilvl="2" w:tplc="B4DAAF24" w:tentative="1">
      <w:start w:val="1"/>
      <w:numFmt w:val="bullet"/>
      <w:lvlText w:val="•"/>
      <w:lvlJc w:val="left"/>
      <w:pPr>
        <w:tabs>
          <w:tab w:val="num" w:pos="2160"/>
        </w:tabs>
        <w:ind w:left="2160" w:hanging="360"/>
      </w:pPr>
      <w:rPr>
        <w:rFonts w:ascii="Times New Roman" w:hAnsi="Times New Roman" w:hint="default"/>
      </w:rPr>
    </w:lvl>
    <w:lvl w:ilvl="3" w:tplc="66F2E240" w:tentative="1">
      <w:start w:val="1"/>
      <w:numFmt w:val="bullet"/>
      <w:lvlText w:val="•"/>
      <w:lvlJc w:val="left"/>
      <w:pPr>
        <w:tabs>
          <w:tab w:val="num" w:pos="2880"/>
        </w:tabs>
        <w:ind w:left="2880" w:hanging="360"/>
      </w:pPr>
      <w:rPr>
        <w:rFonts w:ascii="Times New Roman" w:hAnsi="Times New Roman" w:hint="default"/>
      </w:rPr>
    </w:lvl>
    <w:lvl w:ilvl="4" w:tplc="4752779E" w:tentative="1">
      <w:start w:val="1"/>
      <w:numFmt w:val="bullet"/>
      <w:lvlText w:val="•"/>
      <w:lvlJc w:val="left"/>
      <w:pPr>
        <w:tabs>
          <w:tab w:val="num" w:pos="3600"/>
        </w:tabs>
        <w:ind w:left="3600" w:hanging="360"/>
      </w:pPr>
      <w:rPr>
        <w:rFonts w:ascii="Times New Roman" w:hAnsi="Times New Roman" w:hint="default"/>
      </w:rPr>
    </w:lvl>
    <w:lvl w:ilvl="5" w:tplc="69B81BCA" w:tentative="1">
      <w:start w:val="1"/>
      <w:numFmt w:val="bullet"/>
      <w:lvlText w:val="•"/>
      <w:lvlJc w:val="left"/>
      <w:pPr>
        <w:tabs>
          <w:tab w:val="num" w:pos="4320"/>
        </w:tabs>
        <w:ind w:left="4320" w:hanging="360"/>
      </w:pPr>
      <w:rPr>
        <w:rFonts w:ascii="Times New Roman" w:hAnsi="Times New Roman" w:hint="default"/>
      </w:rPr>
    </w:lvl>
    <w:lvl w:ilvl="6" w:tplc="63505D16" w:tentative="1">
      <w:start w:val="1"/>
      <w:numFmt w:val="bullet"/>
      <w:lvlText w:val="•"/>
      <w:lvlJc w:val="left"/>
      <w:pPr>
        <w:tabs>
          <w:tab w:val="num" w:pos="5040"/>
        </w:tabs>
        <w:ind w:left="5040" w:hanging="360"/>
      </w:pPr>
      <w:rPr>
        <w:rFonts w:ascii="Times New Roman" w:hAnsi="Times New Roman" w:hint="default"/>
      </w:rPr>
    </w:lvl>
    <w:lvl w:ilvl="7" w:tplc="7B5CFA6E" w:tentative="1">
      <w:start w:val="1"/>
      <w:numFmt w:val="bullet"/>
      <w:lvlText w:val="•"/>
      <w:lvlJc w:val="left"/>
      <w:pPr>
        <w:tabs>
          <w:tab w:val="num" w:pos="5760"/>
        </w:tabs>
        <w:ind w:left="5760" w:hanging="360"/>
      </w:pPr>
      <w:rPr>
        <w:rFonts w:ascii="Times New Roman" w:hAnsi="Times New Roman" w:hint="default"/>
      </w:rPr>
    </w:lvl>
    <w:lvl w:ilvl="8" w:tplc="108AFBBE" w:tentative="1">
      <w:start w:val="1"/>
      <w:numFmt w:val="bullet"/>
      <w:lvlText w:val="•"/>
      <w:lvlJc w:val="left"/>
      <w:pPr>
        <w:tabs>
          <w:tab w:val="num" w:pos="6480"/>
        </w:tabs>
        <w:ind w:left="6480" w:hanging="360"/>
      </w:pPr>
      <w:rPr>
        <w:rFonts w:ascii="Times New Roman" w:hAnsi="Times New Roman" w:hint="default"/>
      </w:rPr>
    </w:lvl>
  </w:abstractNum>
  <w:abstractNum w:abstractNumId="8">
    <w:nsid w:val="3B0C798D"/>
    <w:multiLevelType w:val="hybridMultilevel"/>
    <w:tmpl w:val="B0A41D9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4054062F"/>
    <w:multiLevelType w:val="hybridMultilevel"/>
    <w:tmpl w:val="D7845BE4"/>
    <w:lvl w:ilvl="0" w:tplc="C35C5A8E">
      <w:start w:val="1"/>
      <w:numFmt w:val="bullet"/>
      <w:lvlText w:val="•"/>
      <w:lvlJc w:val="left"/>
      <w:pPr>
        <w:tabs>
          <w:tab w:val="num" w:pos="360"/>
        </w:tabs>
        <w:ind w:left="360" w:hanging="360"/>
      </w:pPr>
      <w:rPr>
        <w:rFonts w:ascii="Times New Roman" w:hAnsi="Times New Roman" w:hint="default"/>
      </w:rPr>
    </w:lvl>
    <w:lvl w:ilvl="1" w:tplc="685CF8C6" w:tentative="1">
      <w:start w:val="1"/>
      <w:numFmt w:val="bullet"/>
      <w:lvlText w:val="•"/>
      <w:lvlJc w:val="left"/>
      <w:pPr>
        <w:tabs>
          <w:tab w:val="num" w:pos="1080"/>
        </w:tabs>
        <w:ind w:left="1080" w:hanging="360"/>
      </w:pPr>
      <w:rPr>
        <w:rFonts w:ascii="Times New Roman" w:hAnsi="Times New Roman" w:hint="default"/>
      </w:rPr>
    </w:lvl>
    <w:lvl w:ilvl="2" w:tplc="8AA0A396" w:tentative="1">
      <w:start w:val="1"/>
      <w:numFmt w:val="bullet"/>
      <w:lvlText w:val="•"/>
      <w:lvlJc w:val="left"/>
      <w:pPr>
        <w:tabs>
          <w:tab w:val="num" w:pos="1800"/>
        </w:tabs>
        <w:ind w:left="1800" w:hanging="360"/>
      </w:pPr>
      <w:rPr>
        <w:rFonts w:ascii="Times New Roman" w:hAnsi="Times New Roman" w:hint="default"/>
      </w:rPr>
    </w:lvl>
    <w:lvl w:ilvl="3" w:tplc="5F64D452" w:tentative="1">
      <w:start w:val="1"/>
      <w:numFmt w:val="bullet"/>
      <w:lvlText w:val="•"/>
      <w:lvlJc w:val="left"/>
      <w:pPr>
        <w:tabs>
          <w:tab w:val="num" w:pos="2520"/>
        </w:tabs>
        <w:ind w:left="2520" w:hanging="360"/>
      </w:pPr>
      <w:rPr>
        <w:rFonts w:ascii="Times New Roman" w:hAnsi="Times New Roman" w:hint="default"/>
      </w:rPr>
    </w:lvl>
    <w:lvl w:ilvl="4" w:tplc="DAA0EE50" w:tentative="1">
      <w:start w:val="1"/>
      <w:numFmt w:val="bullet"/>
      <w:lvlText w:val="•"/>
      <w:lvlJc w:val="left"/>
      <w:pPr>
        <w:tabs>
          <w:tab w:val="num" w:pos="3240"/>
        </w:tabs>
        <w:ind w:left="3240" w:hanging="360"/>
      </w:pPr>
      <w:rPr>
        <w:rFonts w:ascii="Times New Roman" w:hAnsi="Times New Roman" w:hint="default"/>
      </w:rPr>
    </w:lvl>
    <w:lvl w:ilvl="5" w:tplc="360CF684" w:tentative="1">
      <w:start w:val="1"/>
      <w:numFmt w:val="bullet"/>
      <w:lvlText w:val="•"/>
      <w:lvlJc w:val="left"/>
      <w:pPr>
        <w:tabs>
          <w:tab w:val="num" w:pos="3960"/>
        </w:tabs>
        <w:ind w:left="3960" w:hanging="360"/>
      </w:pPr>
      <w:rPr>
        <w:rFonts w:ascii="Times New Roman" w:hAnsi="Times New Roman" w:hint="default"/>
      </w:rPr>
    </w:lvl>
    <w:lvl w:ilvl="6" w:tplc="E66C4C76" w:tentative="1">
      <w:start w:val="1"/>
      <w:numFmt w:val="bullet"/>
      <w:lvlText w:val="•"/>
      <w:lvlJc w:val="left"/>
      <w:pPr>
        <w:tabs>
          <w:tab w:val="num" w:pos="4680"/>
        </w:tabs>
        <w:ind w:left="4680" w:hanging="360"/>
      </w:pPr>
      <w:rPr>
        <w:rFonts w:ascii="Times New Roman" w:hAnsi="Times New Roman" w:hint="default"/>
      </w:rPr>
    </w:lvl>
    <w:lvl w:ilvl="7" w:tplc="B15482C4" w:tentative="1">
      <w:start w:val="1"/>
      <w:numFmt w:val="bullet"/>
      <w:lvlText w:val="•"/>
      <w:lvlJc w:val="left"/>
      <w:pPr>
        <w:tabs>
          <w:tab w:val="num" w:pos="5400"/>
        </w:tabs>
        <w:ind w:left="5400" w:hanging="360"/>
      </w:pPr>
      <w:rPr>
        <w:rFonts w:ascii="Times New Roman" w:hAnsi="Times New Roman" w:hint="default"/>
      </w:rPr>
    </w:lvl>
    <w:lvl w:ilvl="8" w:tplc="0F7AFAE0" w:tentative="1">
      <w:start w:val="1"/>
      <w:numFmt w:val="bullet"/>
      <w:lvlText w:val="•"/>
      <w:lvlJc w:val="left"/>
      <w:pPr>
        <w:tabs>
          <w:tab w:val="num" w:pos="6120"/>
        </w:tabs>
        <w:ind w:left="6120" w:hanging="360"/>
      </w:pPr>
      <w:rPr>
        <w:rFonts w:ascii="Times New Roman" w:hAnsi="Times New Roman" w:hint="default"/>
      </w:rPr>
    </w:lvl>
  </w:abstractNum>
  <w:abstractNum w:abstractNumId="10">
    <w:nsid w:val="51C11E56"/>
    <w:multiLevelType w:val="hybridMultilevel"/>
    <w:tmpl w:val="E11A65C4"/>
    <w:lvl w:ilvl="0" w:tplc="0809000F">
      <w:start w:val="1"/>
      <w:numFmt w:val="decimal"/>
      <w:lvlText w:val="%1."/>
      <w:lvlJc w:val="left"/>
      <w:pPr>
        <w:tabs>
          <w:tab w:val="num" w:pos="-60"/>
        </w:tabs>
        <w:ind w:left="-60" w:hanging="360"/>
      </w:pPr>
      <w:rPr>
        <w:rFonts w:cs="Times New Roman"/>
      </w:rPr>
    </w:lvl>
    <w:lvl w:ilvl="1" w:tplc="08090019" w:tentative="1">
      <w:start w:val="1"/>
      <w:numFmt w:val="lowerLetter"/>
      <w:lvlText w:val="%2."/>
      <w:lvlJc w:val="left"/>
      <w:pPr>
        <w:tabs>
          <w:tab w:val="num" w:pos="660"/>
        </w:tabs>
        <w:ind w:left="660" w:hanging="360"/>
      </w:pPr>
      <w:rPr>
        <w:rFonts w:cs="Times New Roman"/>
      </w:rPr>
    </w:lvl>
    <w:lvl w:ilvl="2" w:tplc="0809001B" w:tentative="1">
      <w:start w:val="1"/>
      <w:numFmt w:val="lowerRoman"/>
      <w:lvlText w:val="%3."/>
      <w:lvlJc w:val="right"/>
      <w:pPr>
        <w:tabs>
          <w:tab w:val="num" w:pos="1380"/>
        </w:tabs>
        <w:ind w:left="1380" w:hanging="180"/>
      </w:pPr>
      <w:rPr>
        <w:rFonts w:cs="Times New Roman"/>
      </w:rPr>
    </w:lvl>
    <w:lvl w:ilvl="3" w:tplc="0809000F" w:tentative="1">
      <w:start w:val="1"/>
      <w:numFmt w:val="decimal"/>
      <w:lvlText w:val="%4."/>
      <w:lvlJc w:val="left"/>
      <w:pPr>
        <w:tabs>
          <w:tab w:val="num" w:pos="2100"/>
        </w:tabs>
        <w:ind w:left="2100" w:hanging="360"/>
      </w:pPr>
      <w:rPr>
        <w:rFonts w:cs="Times New Roman"/>
      </w:rPr>
    </w:lvl>
    <w:lvl w:ilvl="4" w:tplc="08090019" w:tentative="1">
      <w:start w:val="1"/>
      <w:numFmt w:val="lowerLetter"/>
      <w:lvlText w:val="%5."/>
      <w:lvlJc w:val="left"/>
      <w:pPr>
        <w:tabs>
          <w:tab w:val="num" w:pos="2820"/>
        </w:tabs>
        <w:ind w:left="2820" w:hanging="360"/>
      </w:pPr>
      <w:rPr>
        <w:rFonts w:cs="Times New Roman"/>
      </w:rPr>
    </w:lvl>
    <w:lvl w:ilvl="5" w:tplc="0809001B" w:tentative="1">
      <w:start w:val="1"/>
      <w:numFmt w:val="lowerRoman"/>
      <w:lvlText w:val="%6."/>
      <w:lvlJc w:val="right"/>
      <w:pPr>
        <w:tabs>
          <w:tab w:val="num" w:pos="3540"/>
        </w:tabs>
        <w:ind w:left="3540" w:hanging="180"/>
      </w:pPr>
      <w:rPr>
        <w:rFonts w:cs="Times New Roman"/>
      </w:rPr>
    </w:lvl>
    <w:lvl w:ilvl="6" w:tplc="0809000F" w:tentative="1">
      <w:start w:val="1"/>
      <w:numFmt w:val="decimal"/>
      <w:lvlText w:val="%7."/>
      <w:lvlJc w:val="left"/>
      <w:pPr>
        <w:tabs>
          <w:tab w:val="num" w:pos="4260"/>
        </w:tabs>
        <w:ind w:left="4260" w:hanging="360"/>
      </w:pPr>
      <w:rPr>
        <w:rFonts w:cs="Times New Roman"/>
      </w:rPr>
    </w:lvl>
    <w:lvl w:ilvl="7" w:tplc="08090019" w:tentative="1">
      <w:start w:val="1"/>
      <w:numFmt w:val="lowerLetter"/>
      <w:lvlText w:val="%8."/>
      <w:lvlJc w:val="left"/>
      <w:pPr>
        <w:tabs>
          <w:tab w:val="num" w:pos="4980"/>
        </w:tabs>
        <w:ind w:left="4980" w:hanging="360"/>
      </w:pPr>
      <w:rPr>
        <w:rFonts w:cs="Times New Roman"/>
      </w:rPr>
    </w:lvl>
    <w:lvl w:ilvl="8" w:tplc="0809001B" w:tentative="1">
      <w:start w:val="1"/>
      <w:numFmt w:val="lowerRoman"/>
      <w:lvlText w:val="%9."/>
      <w:lvlJc w:val="right"/>
      <w:pPr>
        <w:tabs>
          <w:tab w:val="num" w:pos="5700"/>
        </w:tabs>
        <w:ind w:left="5700" w:hanging="180"/>
      </w:pPr>
      <w:rPr>
        <w:rFonts w:cs="Times New Roman"/>
      </w:rPr>
    </w:lvl>
  </w:abstractNum>
  <w:abstractNum w:abstractNumId="11">
    <w:nsid w:val="55833EF3"/>
    <w:multiLevelType w:val="hybridMultilevel"/>
    <w:tmpl w:val="3EAE0ACC"/>
    <w:lvl w:ilvl="0" w:tplc="A3CC492A">
      <w:start w:val="1"/>
      <w:numFmt w:val="bullet"/>
      <w:lvlText w:val="•"/>
      <w:lvlJc w:val="left"/>
      <w:pPr>
        <w:tabs>
          <w:tab w:val="num" w:pos="720"/>
        </w:tabs>
        <w:ind w:left="720" w:hanging="360"/>
      </w:pPr>
      <w:rPr>
        <w:rFonts w:ascii="Times New Roman" w:hAnsi="Times New Roman" w:hint="default"/>
      </w:rPr>
    </w:lvl>
    <w:lvl w:ilvl="1" w:tplc="5DA4B93E" w:tentative="1">
      <w:start w:val="1"/>
      <w:numFmt w:val="bullet"/>
      <w:lvlText w:val="•"/>
      <w:lvlJc w:val="left"/>
      <w:pPr>
        <w:tabs>
          <w:tab w:val="num" w:pos="1440"/>
        </w:tabs>
        <w:ind w:left="1440" w:hanging="360"/>
      </w:pPr>
      <w:rPr>
        <w:rFonts w:ascii="Times New Roman" w:hAnsi="Times New Roman" w:hint="default"/>
      </w:rPr>
    </w:lvl>
    <w:lvl w:ilvl="2" w:tplc="0FD01D3E">
      <w:start w:val="1"/>
      <w:numFmt w:val="bullet"/>
      <w:lvlText w:val="•"/>
      <w:lvlJc w:val="left"/>
      <w:pPr>
        <w:tabs>
          <w:tab w:val="num" w:pos="2160"/>
        </w:tabs>
        <w:ind w:left="2160" w:hanging="360"/>
      </w:pPr>
      <w:rPr>
        <w:rFonts w:ascii="Times New Roman" w:hAnsi="Times New Roman" w:hint="default"/>
      </w:rPr>
    </w:lvl>
    <w:lvl w:ilvl="3" w:tplc="5D42250C" w:tentative="1">
      <w:start w:val="1"/>
      <w:numFmt w:val="bullet"/>
      <w:lvlText w:val="•"/>
      <w:lvlJc w:val="left"/>
      <w:pPr>
        <w:tabs>
          <w:tab w:val="num" w:pos="2880"/>
        </w:tabs>
        <w:ind w:left="2880" w:hanging="360"/>
      </w:pPr>
      <w:rPr>
        <w:rFonts w:ascii="Times New Roman" w:hAnsi="Times New Roman" w:hint="default"/>
      </w:rPr>
    </w:lvl>
    <w:lvl w:ilvl="4" w:tplc="C7C41CAC" w:tentative="1">
      <w:start w:val="1"/>
      <w:numFmt w:val="bullet"/>
      <w:lvlText w:val="•"/>
      <w:lvlJc w:val="left"/>
      <w:pPr>
        <w:tabs>
          <w:tab w:val="num" w:pos="3600"/>
        </w:tabs>
        <w:ind w:left="3600" w:hanging="360"/>
      </w:pPr>
      <w:rPr>
        <w:rFonts w:ascii="Times New Roman" w:hAnsi="Times New Roman" w:hint="default"/>
      </w:rPr>
    </w:lvl>
    <w:lvl w:ilvl="5" w:tplc="51F6D058" w:tentative="1">
      <w:start w:val="1"/>
      <w:numFmt w:val="bullet"/>
      <w:lvlText w:val="•"/>
      <w:lvlJc w:val="left"/>
      <w:pPr>
        <w:tabs>
          <w:tab w:val="num" w:pos="4320"/>
        </w:tabs>
        <w:ind w:left="4320" w:hanging="360"/>
      </w:pPr>
      <w:rPr>
        <w:rFonts w:ascii="Times New Roman" w:hAnsi="Times New Roman" w:hint="default"/>
      </w:rPr>
    </w:lvl>
    <w:lvl w:ilvl="6" w:tplc="51BAC3DE" w:tentative="1">
      <w:start w:val="1"/>
      <w:numFmt w:val="bullet"/>
      <w:lvlText w:val="•"/>
      <w:lvlJc w:val="left"/>
      <w:pPr>
        <w:tabs>
          <w:tab w:val="num" w:pos="5040"/>
        </w:tabs>
        <w:ind w:left="5040" w:hanging="360"/>
      </w:pPr>
      <w:rPr>
        <w:rFonts w:ascii="Times New Roman" w:hAnsi="Times New Roman" w:hint="default"/>
      </w:rPr>
    </w:lvl>
    <w:lvl w:ilvl="7" w:tplc="8CC0495C" w:tentative="1">
      <w:start w:val="1"/>
      <w:numFmt w:val="bullet"/>
      <w:lvlText w:val="•"/>
      <w:lvlJc w:val="left"/>
      <w:pPr>
        <w:tabs>
          <w:tab w:val="num" w:pos="5760"/>
        </w:tabs>
        <w:ind w:left="5760" w:hanging="360"/>
      </w:pPr>
      <w:rPr>
        <w:rFonts w:ascii="Times New Roman" w:hAnsi="Times New Roman" w:hint="default"/>
      </w:rPr>
    </w:lvl>
    <w:lvl w:ilvl="8" w:tplc="D85A806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66657F6E"/>
    <w:multiLevelType w:val="hybridMultilevel"/>
    <w:tmpl w:val="DB6697A6"/>
    <w:lvl w:ilvl="0" w:tplc="49A46882">
      <w:start w:val="1"/>
      <w:numFmt w:val="bullet"/>
      <w:lvlText w:val=""/>
      <w:lvlJc w:val="left"/>
      <w:pPr>
        <w:tabs>
          <w:tab w:val="num" w:pos="720"/>
        </w:tabs>
        <w:ind w:left="720" w:hanging="360"/>
      </w:pPr>
      <w:rPr>
        <w:rFonts w:ascii="Wingdings" w:hAnsi="Wingdings" w:hint="default"/>
      </w:rPr>
    </w:lvl>
    <w:lvl w:ilvl="1" w:tplc="AA7A8C7E" w:tentative="1">
      <w:start w:val="1"/>
      <w:numFmt w:val="bullet"/>
      <w:lvlText w:val=""/>
      <w:lvlJc w:val="left"/>
      <w:pPr>
        <w:tabs>
          <w:tab w:val="num" w:pos="1440"/>
        </w:tabs>
        <w:ind w:left="1440" w:hanging="360"/>
      </w:pPr>
      <w:rPr>
        <w:rFonts w:ascii="Wingdings" w:hAnsi="Wingdings" w:hint="default"/>
      </w:rPr>
    </w:lvl>
    <w:lvl w:ilvl="2" w:tplc="606EBAAC" w:tentative="1">
      <w:start w:val="1"/>
      <w:numFmt w:val="bullet"/>
      <w:lvlText w:val=""/>
      <w:lvlJc w:val="left"/>
      <w:pPr>
        <w:tabs>
          <w:tab w:val="num" w:pos="2160"/>
        </w:tabs>
        <w:ind w:left="2160" w:hanging="360"/>
      </w:pPr>
      <w:rPr>
        <w:rFonts w:ascii="Wingdings" w:hAnsi="Wingdings" w:hint="default"/>
      </w:rPr>
    </w:lvl>
    <w:lvl w:ilvl="3" w:tplc="013A6590" w:tentative="1">
      <w:start w:val="1"/>
      <w:numFmt w:val="bullet"/>
      <w:lvlText w:val=""/>
      <w:lvlJc w:val="left"/>
      <w:pPr>
        <w:tabs>
          <w:tab w:val="num" w:pos="2880"/>
        </w:tabs>
        <w:ind w:left="2880" w:hanging="360"/>
      </w:pPr>
      <w:rPr>
        <w:rFonts w:ascii="Wingdings" w:hAnsi="Wingdings" w:hint="default"/>
      </w:rPr>
    </w:lvl>
    <w:lvl w:ilvl="4" w:tplc="BD1C661E" w:tentative="1">
      <w:start w:val="1"/>
      <w:numFmt w:val="bullet"/>
      <w:lvlText w:val=""/>
      <w:lvlJc w:val="left"/>
      <w:pPr>
        <w:tabs>
          <w:tab w:val="num" w:pos="3600"/>
        </w:tabs>
        <w:ind w:left="3600" w:hanging="360"/>
      </w:pPr>
      <w:rPr>
        <w:rFonts w:ascii="Wingdings" w:hAnsi="Wingdings" w:hint="default"/>
      </w:rPr>
    </w:lvl>
    <w:lvl w:ilvl="5" w:tplc="048E2C7A" w:tentative="1">
      <w:start w:val="1"/>
      <w:numFmt w:val="bullet"/>
      <w:lvlText w:val=""/>
      <w:lvlJc w:val="left"/>
      <w:pPr>
        <w:tabs>
          <w:tab w:val="num" w:pos="4320"/>
        </w:tabs>
        <w:ind w:left="4320" w:hanging="360"/>
      </w:pPr>
      <w:rPr>
        <w:rFonts w:ascii="Wingdings" w:hAnsi="Wingdings" w:hint="default"/>
      </w:rPr>
    </w:lvl>
    <w:lvl w:ilvl="6" w:tplc="BAC004D6" w:tentative="1">
      <w:start w:val="1"/>
      <w:numFmt w:val="bullet"/>
      <w:lvlText w:val=""/>
      <w:lvlJc w:val="left"/>
      <w:pPr>
        <w:tabs>
          <w:tab w:val="num" w:pos="5040"/>
        </w:tabs>
        <w:ind w:left="5040" w:hanging="360"/>
      </w:pPr>
      <w:rPr>
        <w:rFonts w:ascii="Wingdings" w:hAnsi="Wingdings" w:hint="default"/>
      </w:rPr>
    </w:lvl>
    <w:lvl w:ilvl="7" w:tplc="D34A44AA" w:tentative="1">
      <w:start w:val="1"/>
      <w:numFmt w:val="bullet"/>
      <w:lvlText w:val=""/>
      <w:lvlJc w:val="left"/>
      <w:pPr>
        <w:tabs>
          <w:tab w:val="num" w:pos="5760"/>
        </w:tabs>
        <w:ind w:left="5760" w:hanging="360"/>
      </w:pPr>
      <w:rPr>
        <w:rFonts w:ascii="Wingdings" w:hAnsi="Wingdings" w:hint="default"/>
      </w:rPr>
    </w:lvl>
    <w:lvl w:ilvl="8" w:tplc="B72A50C0" w:tentative="1">
      <w:start w:val="1"/>
      <w:numFmt w:val="bullet"/>
      <w:lvlText w:val=""/>
      <w:lvlJc w:val="left"/>
      <w:pPr>
        <w:tabs>
          <w:tab w:val="num" w:pos="6480"/>
        </w:tabs>
        <w:ind w:left="6480" w:hanging="360"/>
      </w:pPr>
      <w:rPr>
        <w:rFonts w:ascii="Wingdings" w:hAnsi="Wingdings" w:hint="default"/>
      </w:rPr>
    </w:lvl>
  </w:abstractNum>
  <w:abstractNum w:abstractNumId="13">
    <w:nsid w:val="74955713"/>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4">
    <w:nsid w:val="74FC284B"/>
    <w:multiLevelType w:val="hybridMultilevel"/>
    <w:tmpl w:val="06F42890"/>
    <w:lvl w:ilvl="0" w:tplc="A95A51BA">
      <w:start w:val="1"/>
      <w:numFmt w:val="bullet"/>
      <w:lvlText w:val="•"/>
      <w:lvlJc w:val="left"/>
      <w:pPr>
        <w:tabs>
          <w:tab w:val="num" w:pos="720"/>
        </w:tabs>
        <w:ind w:left="720" w:hanging="360"/>
      </w:pPr>
      <w:rPr>
        <w:rFonts w:ascii="Times New Roman" w:hAnsi="Times New Roman" w:hint="default"/>
      </w:rPr>
    </w:lvl>
    <w:lvl w:ilvl="1" w:tplc="DD7A490E" w:tentative="1">
      <w:start w:val="1"/>
      <w:numFmt w:val="bullet"/>
      <w:lvlText w:val="•"/>
      <w:lvlJc w:val="left"/>
      <w:pPr>
        <w:tabs>
          <w:tab w:val="num" w:pos="1440"/>
        </w:tabs>
        <w:ind w:left="1440" w:hanging="360"/>
      </w:pPr>
      <w:rPr>
        <w:rFonts w:ascii="Times New Roman" w:hAnsi="Times New Roman" w:hint="default"/>
      </w:rPr>
    </w:lvl>
    <w:lvl w:ilvl="2" w:tplc="1D4EA18E">
      <w:start w:val="1"/>
      <w:numFmt w:val="bullet"/>
      <w:lvlText w:val="•"/>
      <w:lvlJc w:val="left"/>
      <w:pPr>
        <w:tabs>
          <w:tab w:val="num" w:pos="2160"/>
        </w:tabs>
        <w:ind w:left="2160" w:hanging="360"/>
      </w:pPr>
      <w:rPr>
        <w:rFonts w:ascii="Times New Roman" w:hAnsi="Times New Roman" w:hint="default"/>
      </w:rPr>
    </w:lvl>
    <w:lvl w:ilvl="3" w:tplc="3F5E5076" w:tentative="1">
      <w:start w:val="1"/>
      <w:numFmt w:val="bullet"/>
      <w:lvlText w:val="•"/>
      <w:lvlJc w:val="left"/>
      <w:pPr>
        <w:tabs>
          <w:tab w:val="num" w:pos="2880"/>
        </w:tabs>
        <w:ind w:left="2880" w:hanging="360"/>
      </w:pPr>
      <w:rPr>
        <w:rFonts w:ascii="Times New Roman" w:hAnsi="Times New Roman" w:hint="default"/>
      </w:rPr>
    </w:lvl>
    <w:lvl w:ilvl="4" w:tplc="12F6A5AE" w:tentative="1">
      <w:start w:val="1"/>
      <w:numFmt w:val="bullet"/>
      <w:lvlText w:val="•"/>
      <w:lvlJc w:val="left"/>
      <w:pPr>
        <w:tabs>
          <w:tab w:val="num" w:pos="3600"/>
        </w:tabs>
        <w:ind w:left="3600" w:hanging="360"/>
      </w:pPr>
      <w:rPr>
        <w:rFonts w:ascii="Times New Roman" w:hAnsi="Times New Roman" w:hint="default"/>
      </w:rPr>
    </w:lvl>
    <w:lvl w:ilvl="5" w:tplc="7A244F70" w:tentative="1">
      <w:start w:val="1"/>
      <w:numFmt w:val="bullet"/>
      <w:lvlText w:val="•"/>
      <w:lvlJc w:val="left"/>
      <w:pPr>
        <w:tabs>
          <w:tab w:val="num" w:pos="4320"/>
        </w:tabs>
        <w:ind w:left="4320" w:hanging="360"/>
      </w:pPr>
      <w:rPr>
        <w:rFonts w:ascii="Times New Roman" w:hAnsi="Times New Roman" w:hint="default"/>
      </w:rPr>
    </w:lvl>
    <w:lvl w:ilvl="6" w:tplc="1346BD30" w:tentative="1">
      <w:start w:val="1"/>
      <w:numFmt w:val="bullet"/>
      <w:lvlText w:val="•"/>
      <w:lvlJc w:val="left"/>
      <w:pPr>
        <w:tabs>
          <w:tab w:val="num" w:pos="5040"/>
        </w:tabs>
        <w:ind w:left="5040" w:hanging="360"/>
      </w:pPr>
      <w:rPr>
        <w:rFonts w:ascii="Times New Roman" w:hAnsi="Times New Roman" w:hint="default"/>
      </w:rPr>
    </w:lvl>
    <w:lvl w:ilvl="7" w:tplc="52CAA404" w:tentative="1">
      <w:start w:val="1"/>
      <w:numFmt w:val="bullet"/>
      <w:lvlText w:val="•"/>
      <w:lvlJc w:val="left"/>
      <w:pPr>
        <w:tabs>
          <w:tab w:val="num" w:pos="5760"/>
        </w:tabs>
        <w:ind w:left="5760" w:hanging="360"/>
      </w:pPr>
      <w:rPr>
        <w:rFonts w:ascii="Times New Roman" w:hAnsi="Times New Roman" w:hint="default"/>
      </w:rPr>
    </w:lvl>
    <w:lvl w:ilvl="8" w:tplc="A09E55A6" w:tentative="1">
      <w:start w:val="1"/>
      <w:numFmt w:val="bullet"/>
      <w:lvlText w:val="•"/>
      <w:lvlJc w:val="left"/>
      <w:pPr>
        <w:tabs>
          <w:tab w:val="num" w:pos="6480"/>
        </w:tabs>
        <w:ind w:left="6480" w:hanging="360"/>
      </w:pPr>
      <w:rPr>
        <w:rFonts w:ascii="Times New Roman" w:hAnsi="Times New Roman" w:hint="default"/>
      </w:rPr>
    </w:lvl>
  </w:abstractNum>
  <w:num w:numId="1">
    <w:abstractNumId w:val="8"/>
  </w:num>
  <w:num w:numId="2">
    <w:abstractNumId w:val="13"/>
  </w:num>
  <w:num w:numId="3">
    <w:abstractNumId w:val="3"/>
  </w:num>
  <w:num w:numId="4">
    <w:abstractNumId w:val="9"/>
  </w:num>
  <w:num w:numId="5">
    <w:abstractNumId w:val="5"/>
  </w:num>
  <w:num w:numId="6">
    <w:abstractNumId w:val="6"/>
  </w:num>
  <w:num w:numId="7">
    <w:abstractNumId w:val="2"/>
  </w:num>
  <w:num w:numId="8">
    <w:abstractNumId w:val="7"/>
  </w:num>
  <w:num w:numId="9">
    <w:abstractNumId w:val="10"/>
  </w:num>
  <w:num w:numId="10">
    <w:abstractNumId w:val="1"/>
  </w:num>
  <w:num w:numId="11">
    <w:abstractNumId w:val="11"/>
  </w:num>
  <w:num w:numId="12">
    <w:abstractNumId w:val="0"/>
  </w:num>
  <w:num w:numId="13">
    <w:abstractNumId w:val="4"/>
  </w:num>
  <w:num w:numId="14">
    <w:abstractNumId w:val="12"/>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stylePaneFormatFilter w:val="3F01"/>
  <w:defaultTabStop w:val="720"/>
  <w:noPunctuationKerning/>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5420"/>
    <w:rsid w:val="00001B42"/>
    <w:rsid w:val="00002775"/>
    <w:rsid w:val="00005E81"/>
    <w:rsid w:val="000061D9"/>
    <w:rsid w:val="000228E5"/>
    <w:rsid w:val="00022C30"/>
    <w:rsid w:val="000257F7"/>
    <w:rsid w:val="00026DD6"/>
    <w:rsid w:val="0002743A"/>
    <w:rsid w:val="00031AF7"/>
    <w:rsid w:val="000329B4"/>
    <w:rsid w:val="000348C5"/>
    <w:rsid w:val="00047C8F"/>
    <w:rsid w:val="00054152"/>
    <w:rsid w:val="00063F75"/>
    <w:rsid w:val="0009297A"/>
    <w:rsid w:val="000B1F08"/>
    <w:rsid w:val="000B3236"/>
    <w:rsid w:val="000C3351"/>
    <w:rsid w:val="000C62DD"/>
    <w:rsid w:val="000C7430"/>
    <w:rsid w:val="000E1EFF"/>
    <w:rsid w:val="00103573"/>
    <w:rsid w:val="001119C2"/>
    <w:rsid w:val="00112637"/>
    <w:rsid w:val="0012391E"/>
    <w:rsid w:val="00135CE7"/>
    <w:rsid w:val="00154975"/>
    <w:rsid w:val="00181A19"/>
    <w:rsid w:val="001970BE"/>
    <w:rsid w:val="001A3CF3"/>
    <w:rsid w:val="001A5CF5"/>
    <w:rsid w:val="001B0336"/>
    <w:rsid w:val="001B365B"/>
    <w:rsid w:val="001C5161"/>
    <w:rsid w:val="001D42A8"/>
    <w:rsid w:val="001D4420"/>
    <w:rsid w:val="001D58CC"/>
    <w:rsid w:val="001E02C9"/>
    <w:rsid w:val="001E2B76"/>
    <w:rsid w:val="001E3630"/>
    <w:rsid w:val="001E619A"/>
    <w:rsid w:val="001F13E9"/>
    <w:rsid w:val="001F2A0E"/>
    <w:rsid w:val="001F6F88"/>
    <w:rsid w:val="00203748"/>
    <w:rsid w:val="002077F3"/>
    <w:rsid w:val="002134C4"/>
    <w:rsid w:val="0023460E"/>
    <w:rsid w:val="00237A07"/>
    <w:rsid w:val="002432FC"/>
    <w:rsid w:val="00246208"/>
    <w:rsid w:val="00251580"/>
    <w:rsid w:val="002551E5"/>
    <w:rsid w:val="00263229"/>
    <w:rsid w:val="00265570"/>
    <w:rsid w:val="00267DDD"/>
    <w:rsid w:val="00270C70"/>
    <w:rsid w:val="0027475E"/>
    <w:rsid w:val="0028260C"/>
    <w:rsid w:val="002875AD"/>
    <w:rsid w:val="00290A52"/>
    <w:rsid w:val="00295F3A"/>
    <w:rsid w:val="002A7669"/>
    <w:rsid w:val="002B676B"/>
    <w:rsid w:val="002B6ED4"/>
    <w:rsid w:val="002D130D"/>
    <w:rsid w:val="002D240B"/>
    <w:rsid w:val="002D2B9D"/>
    <w:rsid w:val="002D4050"/>
    <w:rsid w:val="002D7A0F"/>
    <w:rsid w:val="002E2896"/>
    <w:rsid w:val="002E680B"/>
    <w:rsid w:val="002F03B6"/>
    <w:rsid w:val="002F0CFC"/>
    <w:rsid w:val="002F5063"/>
    <w:rsid w:val="003002BE"/>
    <w:rsid w:val="003016A9"/>
    <w:rsid w:val="00302BC6"/>
    <w:rsid w:val="003049B7"/>
    <w:rsid w:val="00307DCC"/>
    <w:rsid w:val="0031354D"/>
    <w:rsid w:val="0031511C"/>
    <w:rsid w:val="003215BA"/>
    <w:rsid w:val="003311C1"/>
    <w:rsid w:val="00331C29"/>
    <w:rsid w:val="003323F0"/>
    <w:rsid w:val="003348C9"/>
    <w:rsid w:val="00337E20"/>
    <w:rsid w:val="003561DE"/>
    <w:rsid w:val="00360CAF"/>
    <w:rsid w:val="00367CB4"/>
    <w:rsid w:val="003804E1"/>
    <w:rsid w:val="0038180B"/>
    <w:rsid w:val="00387E2C"/>
    <w:rsid w:val="003A6449"/>
    <w:rsid w:val="003B02BF"/>
    <w:rsid w:val="003B466E"/>
    <w:rsid w:val="003B76C9"/>
    <w:rsid w:val="003C11FC"/>
    <w:rsid w:val="003D0333"/>
    <w:rsid w:val="003D0F87"/>
    <w:rsid w:val="003E3FF6"/>
    <w:rsid w:val="003F2B93"/>
    <w:rsid w:val="003F63DC"/>
    <w:rsid w:val="00400FA2"/>
    <w:rsid w:val="004247B3"/>
    <w:rsid w:val="00426ABB"/>
    <w:rsid w:val="00432E1E"/>
    <w:rsid w:val="004349DC"/>
    <w:rsid w:val="00444EE6"/>
    <w:rsid w:val="00445D9E"/>
    <w:rsid w:val="00446E88"/>
    <w:rsid w:val="004475B7"/>
    <w:rsid w:val="00447FFA"/>
    <w:rsid w:val="00467059"/>
    <w:rsid w:val="004725F6"/>
    <w:rsid w:val="00474002"/>
    <w:rsid w:val="00475F06"/>
    <w:rsid w:val="00487738"/>
    <w:rsid w:val="00491A8C"/>
    <w:rsid w:val="004922CA"/>
    <w:rsid w:val="004B7FB9"/>
    <w:rsid w:val="004C18DD"/>
    <w:rsid w:val="004C220D"/>
    <w:rsid w:val="004C3A55"/>
    <w:rsid w:val="004D5EAA"/>
    <w:rsid w:val="004D7886"/>
    <w:rsid w:val="004E03A3"/>
    <w:rsid w:val="004E2C2E"/>
    <w:rsid w:val="004E59B0"/>
    <w:rsid w:val="004F283F"/>
    <w:rsid w:val="005019ED"/>
    <w:rsid w:val="00501E99"/>
    <w:rsid w:val="00502493"/>
    <w:rsid w:val="00505DB4"/>
    <w:rsid w:val="00506E1D"/>
    <w:rsid w:val="00512924"/>
    <w:rsid w:val="005173A6"/>
    <w:rsid w:val="00523D6F"/>
    <w:rsid w:val="00524B20"/>
    <w:rsid w:val="005448A1"/>
    <w:rsid w:val="00544B72"/>
    <w:rsid w:val="005461AB"/>
    <w:rsid w:val="00546855"/>
    <w:rsid w:val="00570A51"/>
    <w:rsid w:val="00577DCB"/>
    <w:rsid w:val="00583ACF"/>
    <w:rsid w:val="005A4929"/>
    <w:rsid w:val="005A71E3"/>
    <w:rsid w:val="005B0285"/>
    <w:rsid w:val="005B0E61"/>
    <w:rsid w:val="005B1B9B"/>
    <w:rsid w:val="005B64C7"/>
    <w:rsid w:val="005D31B4"/>
    <w:rsid w:val="005D6023"/>
    <w:rsid w:val="005F2BAD"/>
    <w:rsid w:val="005F4F61"/>
    <w:rsid w:val="006004A7"/>
    <w:rsid w:val="00603917"/>
    <w:rsid w:val="00611A73"/>
    <w:rsid w:val="00617522"/>
    <w:rsid w:val="006216CD"/>
    <w:rsid w:val="00621F63"/>
    <w:rsid w:val="00623409"/>
    <w:rsid w:val="00625928"/>
    <w:rsid w:val="00633714"/>
    <w:rsid w:val="00635730"/>
    <w:rsid w:val="00654DAC"/>
    <w:rsid w:val="006551AF"/>
    <w:rsid w:val="00655BF9"/>
    <w:rsid w:val="00656A78"/>
    <w:rsid w:val="0066469D"/>
    <w:rsid w:val="00666A3D"/>
    <w:rsid w:val="00667C77"/>
    <w:rsid w:val="006748AE"/>
    <w:rsid w:val="00682D61"/>
    <w:rsid w:val="00685162"/>
    <w:rsid w:val="0069178E"/>
    <w:rsid w:val="006955E8"/>
    <w:rsid w:val="006A57A3"/>
    <w:rsid w:val="006A596B"/>
    <w:rsid w:val="006A6FBC"/>
    <w:rsid w:val="006B2394"/>
    <w:rsid w:val="006B28D4"/>
    <w:rsid w:val="006D013F"/>
    <w:rsid w:val="006D5B1A"/>
    <w:rsid w:val="006E13E1"/>
    <w:rsid w:val="006E717A"/>
    <w:rsid w:val="006F3677"/>
    <w:rsid w:val="006F447E"/>
    <w:rsid w:val="0070771B"/>
    <w:rsid w:val="00715EA2"/>
    <w:rsid w:val="007207FF"/>
    <w:rsid w:val="007303EC"/>
    <w:rsid w:val="0073368E"/>
    <w:rsid w:val="0074495D"/>
    <w:rsid w:val="00746B97"/>
    <w:rsid w:val="00753359"/>
    <w:rsid w:val="007547F2"/>
    <w:rsid w:val="007552DA"/>
    <w:rsid w:val="007774A8"/>
    <w:rsid w:val="007776AA"/>
    <w:rsid w:val="00780EED"/>
    <w:rsid w:val="007877AE"/>
    <w:rsid w:val="00794A91"/>
    <w:rsid w:val="007A058B"/>
    <w:rsid w:val="007A131C"/>
    <w:rsid w:val="007B1CE8"/>
    <w:rsid w:val="007B4820"/>
    <w:rsid w:val="007C407D"/>
    <w:rsid w:val="007E1749"/>
    <w:rsid w:val="007E548D"/>
    <w:rsid w:val="007F1B76"/>
    <w:rsid w:val="007F4BFE"/>
    <w:rsid w:val="007F5B6D"/>
    <w:rsid w:val="008026B3"/>
    <w:rsid w:val="00806F15"/>
    <w:rsid w:val="008073C1"/>
    <w:rsid w:val="0081242C"/>
    <w:rsid w:val="008163F9"/>
    <w:rsid w:val="008202D9"/>
    <w:rsid w:val="008364E8"/>
    <w:rsid w:val="00840B3F"/>
    <w:rsid w:val="008420B1"/>
    <w:rsid w:val="00842428"/>
    <w:rsid w:val="008434FF"/>
    <w:rsid w:val="008435FC"/>
    <w:rsid w:val="008440E8"/>
    <w:rsid w:val="00850BD9"/>
    <w:rsid w:val="00856215"/>
    <w:rsid w:val="00865C83"/>
    <w:rsid w:val="008758E3"/>
    <w:rsid w:val="0088057F"/>
    <w:rsid w:val="008A0802"/>
    <w:rsid w:val="008A1203"/>
    <w:rsid w:val="008A1E07"/>
    <w:rsid w:val="008B2AFA"/>
    <w:rsid w:val="008B3AA5"/>
    <w:rsid w:val="008E5A93"/>
    <w:rsid w:val="008E758C"/>
    <w:rsid w:val="008F5DFE"/>
    <w:rsid w:val="0090011E"/>
    <w:rsid w:val="009013AA"/>
    <w:rsid w:val="00904D1A"/>
    <w:rsid w:val="00907B1C"/>
    <w:rsid w:val="009245FB"/>
    <w:rsid w:val="0092701A"/>
    <w:rsid w:val="00935935"/>
    <w:rsid w:val="009443BB"/>
    <w:rsid w:val="00944D9D"/>
    <w:rsid w:val="00955E19"/>
    <w:rsid w:val="009636FE"/>
    <w:rsid w:val="00964FA9"/>
    <w:rsid w:val="00972906"/>
    <w:rsid w:val="00973C5D"/>
    <w:rsid w:val="00981E73"/>
    <w:rsid w:val="009A552F"/>
    <w:rsid w:val="009A6432"/>
    <w:rsid w:val="009C0EF5"/>
    <w:rsid w:val="009C2BB2"/>
    <w:rsid w:val="009D1687"/>
    <w:rsid w:val="009D59DA"/>
    <w:rsid w:val="009F201D"/>
    <w:rsid w:val="00A01059"/>
    <w:rsid w:val="00A03FE5"/>
    <w:rsid w:val="00A07FEB"/>
    <w:rsid w:val="00A17A2F"/>
    <w:rsid w:val="00A33300"/>
    <w:rsid w:val="00A334DA"/>
    <w:rsid w:val="00A361E7"/>
    <w:rsid w:val="00A4322B"/>
    <w:rsid w:val="00A50012"/>
    <w:rsid w:val="00A53575"/>
    <w:rsid w:val="00A7015D"/>
    <w:rsid w:val="00A7533D"/>
    <w:rsid w:val="00A80FDA"/>
    <w:rsid w:val="00A83F62"/>
    <w:rsid w:val="00A84A79"/>
    <w:rsid w:val="00A90468"/>
    <w:rsid w:val="00AA3677"/>
    <w:rsid w:val="00AA66EA"/>
    <w:rsid w:val="00AB157E"/>
    <w:rsid w:val="00AB17CF"/>
    <w:rsid w:val="00AB25A1"/>
    <w:rsid w:val="00AB2B7C"/>
    <w:rsid w:val="00AB2B9D"/>
    <w:rsid w:val="00AB4C88"/>
    <w:rsid w:val="00AB7E90"/>
    <w:rsid w:val="00AD3821"/>
    <w:rsid w:val="00AD6251"/>
    <w:rsid w:val="00AF213A"/>
    <w:rsid w:val="00B04CD1"/>
    <w:rsid w:val="00B15799"/>
    <w:rsid w:val="00B22097"/>
    <w:rsid w:val="00B40F1D"/>
    <w:rsid w:val="00B46180"/>
    <w:rsid w:val="00B63876"/>
    <w:rsid w:val="00B81578"/>
    <w:rsid w:val="00B82F1A"/>
    <w:rsid w:val="00B85E0E"/>
    <w:rsid w:val="00B90970"/>
    <w:rsid w:val="00B93F4F"/>
    <w:rsid w:val="00B961A6"/>
    <w:rsid w:val="00B966DF"/>
    <w:rsid w:val="00BA05C5"/>
    <w:rsid w:val="00BA1A68"/>
    <w:rsid w:val="00BB5067"/>
    <w:rsid w:val="00BF3EAD"/>
    <w:rsid w:val="00BF417F"/>
    <w:rsid w:val="00C047D1"/>
    <w:rsid w:val="00C06795"/>
    <w:rsid w:val="00C116E7"/>
    <w:rsid w:val="00C15B42"/>
    <w:rsid w:val="00C17770"/>
    <w:rsid w:val="00C409CD"/>
    <w:rsid w:val="00C4222B"/>
    <w:rsid w:val="00C6110F"/>
    <w:rsid w:val="00C62082"/>
    <w:rsid w:val="00C6290A"/>
    <w:rsid w:val="00C639A3"/>
    <w:rsid w:val="00C73F80"/>
    <w:rsid w:val="00C77159"/>
    <w:rsid w:val="00C84BDF"/>
    <w:rsid w:val="00C96391"/>
    <w:rsid w:val="00CB0035"/>
    <w:rsid w:val="00CE3291"/>
    <w:rsid w:val="00CF1510"/>
    <w:rsid w:val="00CF43FF"/>
    <w:rsid w:val="00CF7479"/>
    <w:rsid w:val="00D052A4"/>
    <w:rsid w:val="00D05A78"/>
    <w:rsid w:val="00D073C9"/>
    <w:rsid w:val="00D12CB0"/>
    <w:rsid w:val="00D24D72"/>
    <w:rsid w:val="00D369E0"/>
    <w:rsid w:val="00D44A1D"/>
    <w:rsid w:val="00D62CD2"/>
    <w:rsid w:val="00D63195"/>
    <w:rsid w:val="00D63EA5"/>
    <w:rsid w:val="00D65007"/>
    <w:rsid w:val="00D73F6F"/>
    <w:rsid w:val="00D800DC"/>
    <w:rsid w:val="00D8014E"/>
    <w:rsid w:val="00D856E6"/>
    <w:rsid w:val="00DA1CEC"/>
    <w:rsid w:val="00DA37FE"/>
    <w:rsid w:val="00DB0A8A"/>
    <w:rsid w:val="00DB1643"/>
    <w:rsid w:val="00DB45C2"/>
    <w:rsid w:val="00DC08FD"/>
    <w:rsid w:val="00DC4A68"/>
    <w:rsid w:val="00DD0F1B"/>
    <w:rsid w:val="00DE3166"/>
    <w:rsid w:val="00DE4A58"/>
    <w:rsid w:val="00DE69A2"/>
    <w:rsid w:val="00DE6C1C"/>
    <w:rsid w:val="00DF33D7"/>
    <w:rsid w:val="00DF4E54"/>
    <w:rsid w:val="00DF593A"/>
    <w:rsid w:val="00E06394"/>
    <w:rsid w:val="00E06FD3"/>
    <w:rsid w:val="00E07963"/>
    <w:rsid w:val="00E107C9"/>
    <w:rsid w:val="00E13C71"/>
    <w:rsid w:val="00E15C42"/>
    <w:rsid w:val="00E221D1"/>
    <w:rsid w:val="00E25B8D"/>
    <w:rsid w:val="00E2723C"/>
    <w:rsid w:val="00E31200"/>
    <w:rsid w:val="00E31FEB"/>
    <w:rsid w:val="00E32159"/>
    <w:rsid w:val="00E364EF"/>
    <w:rsid w:val="00E51009"/>
    <w:rsid w:val="00E518FC"/>
    <w:rsid w:val="00E536D8"/>
    <w:rsid w:val="00E64362"/>
    <w:rsid w:val="00E64396"/>
    <w:rsid w:val="00E7182A"/>
    <w:rsid w:val="00E8048D"/>
    <w:rsid w:val="00E82B15"/>
    <w:rsid w:val="00E92E90"/>
    <w:rsid w:val="00E937A0"/>
    <w:rsid w:val="00E954D4"/>
    <w:rsid w:val="00EA032E"/>
    <w:rsid w:val="00EA0352"/>
    <w:rsid w:val="00EA18DE"/>
    <w:rsid w:val="00EB2E39"/>
    <w:rsid w:val="00EB2EBE"/>
    <w:rsid w:val="00EC2D18"/>
    <w:rsid w:val="00ED7DA0"/>
    <w:rsid w:val="00EF0C67"/>
    <w:rsid w:val="00EF7282"/>
    <w:rsid w:val="00EF7539"/>
    <w:rsid w:val="00F144DD"/>
    <w:rsid w:val="00F15176"/>
    <w:rsid w:val="00F15420"/>
    <w:rsid w:val="00F1690A"/>
    <w:rsid w:val="00F20B85"/>
    <w:rsid w:val="00F24A19"/>
    <w:rsid w:val="00F2527A"/>
    <w:rsid w:val="00F31E6D"/>
    <w:rsid w:val="00F32B88"/>
    <w:rsid w:val="00F341BD"/>
    <w:rsid w:val="00F41CB7"/>
    <w:rsid w:val="00F47F53"/>
    <w:rsid w:val="00F51CDC"/>
    <w:rsid w:val="00F52059"/>
    <w:rsid w:val="00F54B2B"/>
    <w:rsid w:val="00F552A7"/>
    <w:rsid w:val="00F569CC"/>
    <w:rsid w:val="00F56B1D"/>
    <w:rsid w:val="00F618B2"/>
    <w:rsid w:val="00F65224"/>
    <w:rsid w:val="00F653BC"/>
    <w:rsid w:val="00F65816"/>
    <w:rsid w:val="00F81006"/>
    <w:rsid w:val="00F9521D"/>
    <w:rsid w:val="00FA13DE"/>
    <w:rsid w:val="00FA3091"/>
    <w:rsid w:val="00FA48C5"/>
    <w:rsid w:val="00FA664C"/>
    <w:rsid w:val="00FB0736"/>
    <w:rsid w:val="00FB28A0"/>
    <w:rsid w:val="00FC4889"/>
    <w:rsid w:val="00FC6018"/>
    <w:rsid w:val="00FF3E9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0DC"/>
    <w:rPr>
      <w:sz w:val="24"/>
      <w:szCs w:val="24"/>
      <w:lang w:val="en-GB"/>
    </w:rPr>
  </w:style>
  <w:style w:type="paragraph" w:styleId="Heading1">
    <w:name w:val="heading 1"/>
    <w:basedOn w:val="Normal"/>
    <w:next w:val="Normal"/>
    <w:link w:val="Heading1Char"/>
    <w:uiPriority w:val="99"/>
    <w:qFormat/>
    <w:rsid w:val="00C96391"/>
    <w:pPr>
      <w:keepNext/>
      <w:jc w:val="both"/>
      <w:outlineLvl w:val="0"/>
    </w:pPr>
    <w:rPr>
      <w:rFonts w:ascii="Arial" w:hAnsi="Arial" w:cs="Arial"/>
      <w:b/>
      <w:bCs/>
    </w:rPr>
  </w:style>
  <w:style w:type="paragraph" w:styleId="Heading2">
    <w:name w:val="heading 2"/>
    <w:basedOn w:val="Normal"/>
    <w:next w:val="Normal"/>
    <w:link w:val="Heading2Char"/>
    <w:uiPriority w:val="99"/>
    <w:qFormat/>
    <w:rsid w:val="00C96391"/>
    <w:pPr>
      <w:keepNext/>
      <w:ind w:left="-720"/>
      <w:jc w:val="both"/>
      <w:outlineLvl w:val="1"/>
    </w:pPr>
    <w:rPr>
      <w:rFonts w:ascii="Arial" w:hAnsi="Arial" w:cs="Arial"/>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639A3"/>
    <w:rPr>
      <w:rFonts w:ascii="Cambria" w:hAnsi="Cambria" w:cs="Times New Roman"/>
      <w:b/>
      <w:bCs/>
      <w:kern w:val="32"/>
      <w:sz w:val="32"/>
      <w:szCs w:val="32"/>
      <w:lang w:val="en-GB"/>
    </w:rPr>
  </w:style>
  <w:style w:type="character" w:customStyle="1" w:styleId="Heading2Char">
    <w:name w:val="Heading 2 Char"/>
    <w:basedOn w:val="DefaultParagraphFont"/>
    <w:link w:val="Heading2"/>
    <w:uiPriority w:val="99"/>
    <w:semiHidden/>
    <w:locked/>
    <w:rsid w:val="00C639A3"/>
    <w:rPr>
      <w:rFonts w:ascii="Cambria" w:hAnsi="Cambria" w:cs="Times New Roman"/>
      <w:b/>
      <w:bCs/>
      <w:i/>
      <w:iCs/>
      <w:sz w:val="28"/>
      <w:szCs w:val="28"/>
      <w:lang w:val="en-GB"/>
    </w:rPr>
  </w:style>
  <w:style w:type="paragraph" w:styleId="Title">
    <w:name w:val="Title"/>
    <w:basedOn w:val="Normal"/>
    <w:link w:val="TitleChar"/>
    <w:uiPriority w:val="99"/>
    <w:qFormat/>
    <w:rsid w:val="00C96391"/>
    <w:pPr>
      <w:jc w:val="center"/>
    </w:pPr>
    <w:rPr>
      <w:rFonts w:ascii="Arial" w:hAnsi="Arial" w:cs="Arial"/>
      <w:b/>
      <w:bCs/>
    </w:rPr>
  </w:style>
  <w:style w:type="character" w:customStyle="1" w:styleId="TitleChar">
    <w:name w:val="Title Char"/>
    <w:basedOn w:val="DefaultParagraphFont"/>
    <w:link w:val="Title"/>
    <w:uiPriority w:val="99"/>
    <w:locked/>
    <w:rsid w:val="00C639A3"/>
    <w:rPr>
      <w:rFonts w:ascii="Cambria" w:hAnsi="Cambria" w:cs="Times New Roman"/>
      <w:b/>
      <w:bCs/>
      <w:kern w:val="28"/>
      <w:sz w:val="32"/>
      <w:szCs w:val="32"/>
      <w:lang w:val="en-GB"/>
    </w:rPr>
  </w:style>
  <w:style w:type="paragraph" w:styleId="BodyTextIndent">
    <w:name w:val="Body Text Indent"/>
    <w:basedOn w:val="Normal"/>
    <w:link w:val="BodyTextIndentChar"/>
    <w:uiPriority w:val="99"/>
    <w:rsid w:val="00C96391"/>
    <w:pPr>
      <w:ind w:left="-720"/>
      <w:jc w:val="both"/>
    </w:pPr>
    <w:rPr>
      <w:rFonts w:ascii="Arial" w:hAnsi="Arial"/>
    </w:rPr>
  </w:style>
  <w:style w:type="character" w:customStyle="1" w:styleId="BodyTextIndentChar">
    <w:name w:val="Body Text Indent Char"/>
    <w:basedOn w:val="DefaultParagraphFont"/>
    <w:link w:val="BodyTextIndent"/>
    <w:uiPriority w:val="99"/>
    <w:semiHidden/>
    <w:locked/>
    <w:rsid w:val="00C639A3"/>
    <w:rPr>
      <w:rFonts w:cs="Times New Roman"/>
      <w:sz w:val="24"/>
      <w:szCs w:val="24"/>
      <w:lang w:val="en-GB"/>
    </w:rPr>
  </w:style>
  <w:style w:type="paragraph" w:styleId="BalloonText">
    <w:name w:val="Balloon Text"/>
    <w:basedOn w:val="Normal"/>
    <w:link w:val="BalloonTextChar"/>
    <w:uiPriority w:val="99"/>
    <w:semiHidden/>
    <w:rsid w:val="00C9639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639A3"/>
    <w:rPr>
      <w:rFonts w:cs="Times New Roman"/>
      <w:sz w:val="2"/>
      <w:lang w:val="en-GB"/>
    </w:rPr>
  </w:style>
  <w:style w:type="paragraph" w:styleId="NormalWeb">
    <w:name w:val="Normal (Web)"/>
    <w:basedOn w:val="Normal"/>
    <w:uiPriority w:val="99"/>
    <w:rsid w:val="006004A7"/>
    <w:pPr>
      <w:spacing w:before="100" w:beforeAutospacing="1" w:after="100" w:afterAutospacing="1"/>
    </w:pPr>
    <w:rPr>
      <w:lang w:eastAsia="en-GB"/>
    </w:rPr>
  </w:style>
  <w:style w:type="paragraph" w:styleId="BodyText">
    <w:name w:val="Body Text"/>
    <w:basedOn w:val="Normal"/>
    <w:link w:val="BodyTextChar"/>
    <w:uiPriority w:val="99"/>
    <w:rsid w:val="004B7FB9"/>
    <w:pPr>
      <w:spacing w:after="120"/>
    </w:pPr>
  </w:style>
  <w:style w:type="character" w:customStyle="1" w:styleId="BodyTextChar">
    <w:name w:val="Body Text Char"/>
    <w:basedOn w:val="DefaultParagraphFont"/>
    <w:link w:val="BodyText"/>
    <w:uiPriority w:val="99"/>
    <w:semiHidden/>
    <w:locked/>
    <w:rsid w:val="00C639A3"/>
    <w:rPr>
      <w:rFonts w:cs="Times New Roman"/>
      <w:sz w:val="24"/>
      <w:szCs w:val="24"/>
      <w:lang w:val="en-GB"/>
    </w:rPr>
  </w:style>
  <w:style w:type="character" w:styleId="Hyperlink">
    <w:name w:val="Hyperlink"/>
    <w:basedOn w:val="DefaultParagraphFont"/>
    <w:uiPriority w:val="99"/>
    <w:rsid w:val="000061D9"/>
    <w:rPr>
      <w:rFonts w:cs="Times New Roman"/>
      <w:color w:val="0000FF"/>
      <w:u w:val="single"/>
    </w:rPr>
  </w:style>
  <w:style w:type="paragraph" w:customStyle="1" w:styleId="Contact">
    <w:name w:val="Contact"/>
    <w:basedOn w:val="Footer"/>
    <w:uiPriority w:val="99"/>
    <w:rsid w:val="000061D9"/>
    <w:pPr>
      <w:widowControl w:val="0"/>
      <w:tabs>
        <w:tab w:val="clear" w:pos="4153"/>
        <w:tab w:val="clear" w:pos="8306"/>
      </w:tabs>
      <w:ind w:firstLine="4230"/>
      <w:jc w:val="both"/>
    </w:pPr>
    <w:rPr>
      <w:rFonts w:ascii="Helvetica 45 Light" w:hAnsi="Helvetica 45 Light" w:cs="Arial"/>
      <w:sz w:val="20"/>
      <w:szCs w:val="20"/>
      <w:lang w:eastAsia="en-GB"/>
    </w:rPr>
  </w:style>
  <w:style w:type="paragraph" w:customStyle="1" w:styleId="PressInformation">
    <w:name w:val="PressInformation"/>
    <w:basedOn w:val="Normal"/>
    <w:uiPriority w:val="99"/>
    <w:rsid w:val="000061D9"/>
    <w:pPr>
      <w:widowControl w:val="0"/>
    </w:pPr>
    <w:rPr>
      <w:rFonts w:ascii="Arial" w:hAnsi="Arial" w:cs="Arial"/>
      <w:b/>
      <w:bCs/>
      <w:sz w:val="28"/>
      <w:szCs w:val="28"/>
      <w:lang w:eastAsia="en-GB"/>
    </w:rPr>
  </w:style>
  <w:style w:type="paragraph" w:styleId="Footer">
    <w:name w:val="footer"/>
    <w:basedOn w:val="Normal"/>
    <w:link w:val="FooterChar"/>
    <w:uiPriority w:val="99"/>
    <w:rsid w:val="000061D9"/>
    <w:pPr>
      <w:tabs>
        <w:tab w:val="center" w:pos="4153"/>
        <w:tab w:val="right" w:pos="8306"/>
      </w:tabs>
    </w:pPr>
  </w:style>
  <w:style w:type="character" w:customStyle="1" w:styleId="FooterChar">
    <w:name w:val="Footer Char"/>
    <w:basedOn w:val="DefaultParagraphFont"/>
    <w:link w:val="Footer"/>
    <w:uiPriority w:val="99"/>
    <w:semiHidden/>
    <w:locked/>
    <w:rsid w:val="00C639A3"/>
    <w:rPr>
      <w:rFonts w:cs="Times New Roman"/>
      <w:sz w:val="24"/>
      <w:szCs w:val="24"/>
      <w:lang w:val="en-GB"/>
    </w:rPr>
  </w:style>
  <w:style w:type="table" w:styleId="TableGrid">
    <w:name w:val="Table Grid"/>
    <w:basedOn w:val="TableNormal"/>
    <w:uiPriority w:val="99"/>
    <w:rsid w:val="003348C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02743A"/>
    <w:pPr>
      <w:ind w:left="720"/>
      <w:contextualSpacing/>
    </w:pPr>
    <w:rPr>
      <w:lang w:eastAsia="en-GB"/>
    </w:rPr>
  </w:style>
  <w:style w:type="paragraph" w:styleId="Revision">
    <w:name w:val="Revision"/>
    <w:hidden/>
    <w:uiPriority w:val="99"/>
    <w:semiHidden/>
    <w:rsid w:val="00AB2B7C"/>
    <w:rPr>
      <w:sz w:val="24"/>
      <w:szCs w:val="24"/>
      <w:lang w:val="en-GB"/>
    </w:rPr>
  </w:style>
  <w:style w:type="paragraph" w:styleId="DocumentMap">
    <w:name w:val="Document Map"/>
    <w:basedOn w:val="Normal"/>
    <w:link w:val="DocumentMapChar"/>
    <w:uiPriority w:val="99"/>
    <w:semiHidden/>
    <w:rsid w:val="002551E5"/>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C639A3"/>
    <w:rPr>
      <w:rFonts w:cs="Times New Roman"/>
      <w:sz w:val="2"/>
      <w:lang w:val="en-GB"/>
    </w:rPr>
  </w:style>
  <w:style w:type="paragraph" w:styleId="Header">
    <w:name w:val="header"/>
    <w:basedOn w:val="Normal"/>
    <w:link w:val="HeaderChar"/>
    <w:uiPriority w:val="99"/>
    <w:rsid w:val="002551E5"/>
    <w:pPr>
      <w:tabs>
        <w:tab w:val="center" w:pos="4320"/>
        <w:tab w:val="right" w:pos="8640"/>
      </w:tabs>
    </w:pPr>
  </w:style>
  <w:style w:type="character" w:customStyle="1" w:styleId="HeaderChar">
    <w:name w:val="Header Char"/>
    <w:basedOn w:val="DefaultParagraphFont"/>
    <w:link w:val="Header"/>
    <w:uiPriority w:val="99"/>
    <w:semiHidden/>
    <w:locked/>
    <w:rsid w:val="00C639A3"/>
    <w:rPr>
      <w:rFonts w:cs="Times New Roman"/>
      <w:sz w:val="24"/>
      <w:szCs w:val="24"/>
      <w:lang w:val="en-GB"/>
    </w:rPr>
  </w:style>
</w:styles>
</file>

<file path=word/webSettings.xml><?xml version="1.0" encoding="utf-8"?>
<w:webSettings xmlns:r="http://schemas.openxmlformats.org/officeDocument/2006/relationships" xmlns:w="http://schemas.openxmlformats.org/wordprocessingml/2006/main">
  <w:divs>
    <w:div w:id="910120439">
      <w:marLeft w:val="0"/>
      <w:marRight w:val="0"/>
      <w:marTop w:val="0"/>
      <w:marBottom w:val="0"/>
      <w:divBdr>
        <w:top w:val="none" w:sz="0" w:space="0" w:color="auto"/>
        <w:left w:val="none" w:sz="0" w:space="0" w:color="auto"/>
        <w:bottom w:val="none" w:sz="0" w:space="0" w:color="auto"/>
        <w:right w:val="none" w:sz="0" w:space="0" w:color="auto"/>
      </w:divBdr>
      <w:divsChild>
        <w:div w:id="910120473">
          <w:marLeft w:val="0"/>
          <w:marRight w:val="0"/>
          <w:marTop w:val="0"/>
          <w:marBottom w:val="0"/>
          <w:divBdr>
            <w:top w:val="none" w:sz="0" w:space="0" w:color="auto"/>
            <w:left w:val="none" w:sz="0" w:space="0" w:color="auto"/>
            <w:bottom w:val="none" w:sz="0" w:space="0" w:color="auto"/>
            <w:right w:val="none" w:sz="0" w:space="0" w:color="auto"/>
          </w:divBdr>
        </w:div>
      </w:divsChild>
    </w:div>
    <w:div w:id="910120441">
      <w:marLeft w:val="0"/>
      <w:marRight w:val="0"/>
      <w:marTop w:val="0"/>
      <w:marBottom w:val="0"/>
      <w:divBdr>
        <w:top w:val="none" w:sz="0" w:space="0" w:color="auto"/>
        <w:left w:val="none" w:sz="0" w:space="0" w:color="auto"/>
        <w:bottom w:val="none" w:sz="0" w:space="0" w:color="auto"/>
        <w:right w:val="none" w:sz="0" w:space="0" w:color="auto"/>
      </w:divBdr>
    </w:div>
    <w:div w:id="910120442">
      <w:marLeft w:val="0"/>
      <w:marRight w:val="0"/>
      <w:marTop w:val="0"/>
      <w:marBottom w:val="0"/>
      <w:divBdr>
        <w:top w:val="none" w:sz="0" w:space="0" w:color="auto"/>
        <w:left w:val="none" w:sz="0" w:space="0" w:color="auto"/>
        <w:bottom w:val="none" w:sz="0" w:space="0" w:color="auto"/>
        <w:right w:val="none" w:sz="0" w:space="0" w:color="auto"/>
      </w:divBdr>
    </w:div>
    <w:div w:id="910120444">
      <w:marLeft w:val="0"/>
      <w:marRight w:val="0"/>
      <w:marTop w:val="0"/>
      <w:marBottom w:val="0"/>
      <w:divBdr>
        <w:top w:val="none" w:sz="0" w:space="0" w:color="auto"/>
        <w:left w:val="none" w:sz="0" w:space="0" w:color="auto"/>
        <w:bottom w:val="none" w:sz="0" w:space="0" w:color="auto"/>
        <w:right w:val="none" w:sz="0" w:space="0" w:color="auto"/>
      </w:divBdr>
    </w:div>
    <w:div w:id="910120445">
      <w:marLeft w:val="0"/>
      <w:marRight w:val="0"/>
      <w:marTop w:val="0"/>
      <w:marBottom w:val="0"/>
      <w:divBdr>
        <w:top w:val="none" w:sz="0" w:space="0" w:color="auto"/>
        <w:left w:val="none" w:sz="0" w:space="0" w:color="auto"/>
        <w:bottom w:val="none" w:sz="0" w:space="0" w:color="auto"/>
        <w:right w:val="none" w:sz="0" w:space="0" w:color="auto"/>
      </w:divBdr>
    </w:div>
    <w:div w:id="910120448">
      <w:marLeft w:val="0"/>
      <w:marRight w:val="0"/>
      <w:marTop w:val="0"/>
      <w:marBottom w:val="0"/>
      <w:divBdr>
        <w:top w:val="none" w:sz="0" w:space="0" w:color="auto"/>
        <w:left w:val="none" w:sz="0" w:space="0" w:color="auto"/>
        <w:bottom w:val="none" w:sz="0" w:space="0" w:color="auto"/>
        <w:right w:val="none" w:sz="0" w:space="0" w:color="auto"/>
      </w:divBdr>
    </w:div>
    <w:div w:id="910120449">
      <w:marLeft w:val="0"/>
      <w:marRight w:val="0"/>
      <w:marTop w:val="0"/>
      <w:marBottom w:val="0"/>
      <w:divBdr>
        <w:top w:val="none" w:sz="0" w:space="0" w:color="auto"/>
        <w:left w:val="none" w:sz="0" w:space="0" w:color="auto"/>
        <w:bottom w:val="none" w:sz="0" w:space="0" w:color="auto"/>
        <w:right w:val="none" w:sz="0" w:space="0" w:color="auto"/>
      </w:divBdr>
    </w:div>
    <w:div w:id="910120451">
      <w:marLeft w:val="0"/>
      <w:marRight w:val="0"/>
      <w:marTop w:val="0"/>
      <w:marBottom w:val="0"/>
      <w:divBdr>
        <w:top w:val="none" w:sz="0" w:space="0" w:color="auto"/>
        <w:left w:val="none" w:sz="0" w:space="0" w:color="auto"/>
        <w:bottom w:val="none" w:sz="0" w:space="0" w:color="auto"/>
        <w:right w:val="none" w:sz="0" w:space="0" w:color="auto"/>
      </w:divBdr>
    </w:div>
    <w:div w:id="910120457">
      <w:marLeft w:val="0"/>
      <w:marRight w:val="0"/>
      <w:marTop w:val="0"/>
      <w:marBottom w:val="0"/>
      <w:divBdr>
        <w:top w:val="none" w:sz="0" w:space="0" w:color="auto"/>
        <w:left w:val="none" w:sz="0" w:space="0" w:color="auto"/>
        <w:bottom w:val="none" w:sz="0" w:space="0" w:color="auto"/>
        <w:right w:val="none" w:sz="0" w:space="0" w:color="auto"/>
      </w:divBdr>
      <w:divsChild>
        <w:div w:id="910120474">
          <w:marLeft w:val="0"/>
          <w:marRight w:val="0"/>
          <w:marTop w:val="0"/>
          <w:marBottom w:val="0"/>
          <w:divBdr>
            <w:top w:val="none" w:sz="0" w:space="0" w:color="auto"/>
            <w:left w:val="none" w:sz="0" w:space="0" w:color="auto"/>
            <w:bottom w:val="none" w:sz="0" w:space="0" w:color="auto"/>
            <w:right w:val="none" w:sz="0" w:space="0" w:color="auto"/>
          </w:divBdr>
          <w:divsChild>
            <w:div w:id="910120440">
              <w:marLeft w:val="0"/>
              <w:marRight w:val="0"/>
              <w:marTop w:val="0"/>
              <w:marBottom w:val="0"/>
              <w:divBdr>
                <w:top w:val="none" w:sz="0" w:space="0" w:color="auto"/>
                <w:left w:val="none" w:sz="0" w:space="0" w:color="auto"/>
                <w:bottom w:val="none" w:sz="0" w:space="0" w:color="auto"/>
                <w:right w:val="none" w:sz="0" w:space="0" w:color="auto"/>
              </w:divBdr>
            </w:div>
            <w:div w:id="91012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120459">
      <w:marLeft w:val="0"/>
      <w:marRight w:val="0"/>
      <w:marTop w:val="0"/>
      <w:marBottom w:val="0"/>
      <w:divBdr>
        <w:top w:val="none" w:sz="0" w:space="0" w:color="auto"/>
        <w:left w:val="none" w:sz="0" w:space="0" w:color="auto"/>
        <w:bottom w:val="none" w:sz="0" w:space="0" w:color="auto"/>
        <w:right w:val="none" w:sz="0" w:space="0" w:color="auto"/>
      </w:divBdr>
      <w:divsChild>
        <w:div w:id="910120454">
          <w:marLeft w:val="0"/>
          <w:marRight w:val="0"/>
          <w:marTop w:val="0"/>
          <w:marBottom w:val="0"/>
          <w:divBdr>
            <w:top w:val="none" w:sz="0" w:space="0" w:color="auto"/>
            <w:left w:val="none" w:sz="0" w:space="0" w:color="auto"/>
            <w:bottom w:val="none" w:sz="0" w:space="0" w:color="auto"/>
            <w:right w:val="none" w:sz="0" w:space="0" w:color="auto"/>
          </w:divBdr>
          <w:divsChild>
            <w:div w:id="910120463">
              <w:marLeft w:val="0"/>
              <w:marRight w:val="0"/>
              <w:marTop w:val="0"/>
              <w:marBottom w:val="0"/>
              <w:divBdr>
                <w:top w:val="none" w:sz="0" w:space="0" w:color="auto"/>
                <w:left w:val="none" w:sz="0" w:space="0" w:color="auto"/>
                <w:bottom w:val="none" w:sz="0" w:space="0" w:color="auto"/>
                <w:right w:val="none" w:sz="0" w:space="0" w:color="auto"/>
              </w:divBdr>
            </w:div>
            <w:div w:id="910120464">
              <w:marLeft w:val="0"/>
              <w:marRight w:val="0"/>
              <w:marTop w:val="0"/>
              <w:marBottom w:val="0"/>
              <w:divBdr>
                <w:top w:val="none" w:sz="0" w:space="0" w:color="auto"/>
                <w:left w:val="none" w:sz="0" w:space="0" w:color="auto"/>
                <w:bottom w:val="none" w:sz="0" w:space="0" w:color="auto"/>
                <w:right w:val="none" w:sz="0" w:space="0" w:color="auto"/>
              </w:divBdr>
            </w:div>
            <w:div w:id="910120467">
              <w:marLeft w:val="0"/>
              <w:marRight w:val="0"/>
              <w:marTop w:val="0"/>
              <w:marBottom w:val="0"/>
              <w:divBdr>
                <w:top w:val="none" w:sz="0" w:space="0" w:color="auto"/>
                <w:left w:val="none" w:sz="0" w:space="0" w:color="auto"/>
                <w:bottom w:val="none" w:sz="0" w:space="0" w:color="auto"/>
                <w:right w:val="none" w:sz="0" w:space="0" w:color="auto"/>
              </w:divBdr>
            </w:div>
            <w:div w:id="910120479">
              <w:marLeft w:val="0"/>
              <w:marRight w:val="0"/>
              <w:marTop w:val="0"/>
              <w:marBottom w:val="0"/>
              <w:divBdr>
                <w:top w:val="none" w:sz="0" w:space="0" w:color="auto"/>
                <w:left w:val="none" w:sz="0" w:space="0" w:color="auto"/>
                <w:bottom w:val="none" w:sz="0" w:space="0" w:color="auto"/>
                <w:right w:val="none" w:sz="0" w:space="0" w:color="auto"/>
              </w:divBdr>
            </w:div>
            <w:div w:id="910120480">
              <w:marLeft w:val="0"/>
              <w:marRight w:val="0"/>
              <w:marTop w:val="0"/>
              <w:marBottom w:val="0"/>
              <w:divBdr>
                <w:top w:val="none" w:sz="0" w:space="0" w:color="auto"/>
                <w:left w:val="none" w:sz="0" w:space="0" w:color="auto"/>
                <w:bottom w:val="none" w:sz="0" w:space="0" w:color="auto"/>
                <w:right w:val="none" w:sz="0" w:space="0" w:color="auto"/>
              </w:divBdr>
            </w:div>
            <w:div w:id="91012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120460">
      <w:marLeft w:val="0"/>
      <w:marRight w:val="0"/>
      <w:marTop w:val="0"/>
      <w:marBottom w:val="0"/>
      <w:divBdr>
        <w:top w:val="none" w:sz="0" w:space="0" w:color="auto"/>
        <w:left w:val="none" w:sz="0" w:space="0" w:color="auto"/>
        <w:bottom w:val="none" w:sz="0" w:space="0" w:color="auto"/>
        <w:right w:val="none" w:sz="0" w:space="0" w:color="auto"/>
      </w:divBdr>
      <w:divsChild>
        <w:div w:id="910120486">
          <w:marLeft w:val="0"/>
          <w:marRight w:val="0"/>
          <w:marTop w:val="0"/>
          <w:marBottom w:val="0"/>
          <w:divBdr>
            <w:top w:val="none" w:sz="0" w:space="0" w:color="auto"/>
            <w:left w:val="none" w:sz="0" w:space="0" w:color="auto"/>
            <w:bottom w:val="none" w:sz="0" w:space="0" w:color="auto"/>
            <w:right w:val="none" w:sz="0" w:space="0" w:color="auto"/>
          </w:divBdr>
          <w:divsChild>
            <w:div w:id="910120443">
              <w:marLeft w:val="0"/>
              <w:marRight w:val="0"/>
              <w:marTop w:val="0"/>
              <w:marBottom w:val="0"/>
              <w:divBdr>
                <w:top w:val="none" w:sz="0" w:space="0" w:color="auto"/>
                <w:left w:val="none" w:sz="0" w:space="0" w:color="auto"/>
                <w:bottom w:val="none" w:sz="0" w:space="0" w:color="auto"/>
                <w:right w:val="none" w:sz="0" w:space="0" w:color="auto"/>
              </w:divBdr>
            </w:div>
            <w:div w:id="910120453">
              <w:marLeft w:val="0"/>
              <w:marRight w:val="0"/>
              <w:marTop w:val="0"/>
              <w:marBottom w:val="0"/>
              <w:divBdr>
                <w:top w:val="none" w:sz="0" w:space="0" w:color="auto"/>
                <w:left w:val="none" w:sz="0" w:space="0" w:color="auto"/>
                <w:bottom w:val="none" w:sz="0" w:space="0" w:color="auto"/>
                <w:right w:val="none" w:sz="0" w:space="0" w:color="auto"/>
              </w:divBdr>
            </w:div>
            <w:div w:id="910120465">
              <w:marLeft w:val="0"/>
              <w:marRight w:val="0"/>
              <w:marTop w:val="0"/>
              <w:marBottom w:val="0"/>
              <w:divBdr>
                <w:top w:val="none" w:sz="0" w:space="0" w:color="auto"/>
                <w:left w:val="none" w:sz="0" w:space="0" w:color="auto"/>
                <w:bottom w:val="none" w:sz="0" w:space="0" w:color="auto"/>
                <w:right w:val="none" w:sz="0" w:space="0" w:color="auto"/>
              </w:divBdr>
            </w:div>
            <w:div w:id="910120471">
              <w:marLeft w:val="0"/>
              <w:marRight w:val="0"/>
              <w:marTop w:val="0"/>
              <w:marBottom w:val="0"/>
              <w:divBdr>
                <w:top w:val="none" w:sz="0" w:space="0" w:color="auto"/>
                <w:left w:val="none" w:sz="0" w:space="0" w:color="auto"/>
                <w:bottom w:val="none" w:sz="0" w:space="0" w:color="auto"/>
                <w:right w:val="none" w:sz="0" w:space="0" w:color="auto"/>
              </w:divBdr>
            </w:div>
            <w:div w:id="910120477">
              <w:marLeft w:val="0"/>
              <w:marRight w:val="0"/>
              <w:marTop w:val="0"/>
              <w:marBottom w:val="0"/>
              <w:divBdr>
                <w:top w:val="none" w:sz="0" w:space="0" w:color="auto"/>
                <w:left w:val="none" w:sz="0" w:space="0" w:color="auto"/>
                <w:bottom w:val="none" w:sz="0" w:space="0" w:color="auto"/>
                <w:right w:val="none" w:sz="0" w:space="0" w:color="auto"/>
              </w:divBdr>
            </w:div>
            <w:div w:id="91012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120461">
      <w:marLeft w:val="0"/>
      <w:marRight w:val="0"/>
      <w:marTop w:val="0"/>
      <w:marBottom w:val="0"/>
      <w:divBdr>
        <w:top w:val="none" w:sz="0" w:space="0" w:color="auto"/>
        <w:left w:val="none" w:sz="0" w:space="0" w:color="auto"/>
        <w:bottom w:val="none" w:sz="0" w:space="0" w:color="auto"/>
        <w:right w:val="none" w:sz="0" w:space="0" w:color="auto"/>
      </w:divBdr>
      <w:divsChild>
        <w:div w:id="910120495">
          <w:marLeft w:val="0"/>
          <w:marRight w:val="0"/>
          <w:marTop w:val="0"/>
          <w:marBottom w:val="0"/>
          <w:divBdr>
            <w:top w:val="none" w:sz="0" w:space="0" w:color="auto"/>
            <w:left w:val="none" w:sz="0" w:space="0" w:color="auto"/>
            <w:bottom w:val="none" w:sz="0" w:space="0" w:color="auto"/>
            <w:right w:val="none" w:sz="0" w:space="0" w:color="auto"/>
          </w:divBdr>
        </w:div>
      </w:divsChild>
    </w:div>
    <w:div w:id="910120462">
      <w:marLeft w:val="0"/>
      <w:marRight w:val="0"/>
      <w:marTop w:val="0"/>
      <w:marBottom w:val="0"/>
      <w:divBdr>
        <w:top w:val="none" w:sz="0" w:space="0" w:color="auto"/>
        <w:left w:val="none" w:sz="0" w:space="0" w:color="auto"/>
        <w:bottom w:val="none" w:sz="0" w:space="0" w:color="auto"/>
        <w:right w:val="none" w:sz="0" w:space="0" w:color="auto"/>
      </w:divBdr>
    </w:div>
    <w:div w:id="910120468">
      <w:marLeft w:val="0"/>
      <w:marRight w:val="0"/>
      <w:marTop w:val="0"/>
      <w:marBottom w:val="0"/>
      <w:divBdr>
        <w:top w:val="none" w:sz="0" w:space="0" w:color="auto"/>
        <w:left w:val="none" w:sz="0" w:space="0" w:color="auto"/>
        <w:bottom w:val="none" w:sz="0" w:space="0" w:color="auto"/>
        <w:right w:val="none" w:sz="0" w:space="0" w:color="auto"/>
      </w:divBdr>
    </w:div>
    <w:div w:id="910120472">
      <w:marLeft w:val="0"/>
      <w:marRight w:val="0"/>
      <w:marTop w:val="0"/>
      <w:marBottom w:val="0"/>
      <w:divBdr>
        <w:top w:val="none" w:sz="0" w:space="0" w:color="auto"/>
        <w:left w:val="none" w:sz="0" w:space="0" w:color="auto"/>
        <w:bottom w:val="none" w:sz="0" w:space="0" w:color="auto"/>
        <w:right w:val="none" w:sz="0" w:space="0" w:color="auto"/>
      </w:divBdr>
      <w:divsChild>
        <w:div w:id="910120469">
          <w:marLeft w:val="0"/>
          <w:marRight w:val="0"/>
          <w:marTop w:val="0"/>
          <w:marBottom w:val="0"/>
          <w:divBdr>
            <w:top w:val="none" w:sz="0" w:space="0" w:color="auto"/>
            <w:left w:val="none" w:sz="0" w:space="0" w:color="auto"/>
            <w:bottom w:val="none" w:sz="0" w:space="0" w:color="auto"/>
            <w:right w:val="none" w:sz="0" w:space="0" w:color="auto"/>
          </w:divBdr>
        </w:div>
      </w:divsChild>
    </w:div>
    <w:div w:id="910120476">
      <w:marLeft w:val="0"/>
      <w:marRight w:val="0"/>
      <w:marTop w:val="0"/>
      <w:marBottom w:val="0"/>
      <w:divBdr>
        <w:top w:val="none" w:sz="0" w:space="0" w:color="auto"/>
        <w:left w:val="none" w:sz="0" w:space="0" w:color="auto"/>
        <w:bottom w:val="none" w:sz="0" w:space="0" w:color="auto"/>
        <w:right w:val="none" w:sz="0" w:space="0" w:color="auto"/>
      </w:divBdr>
    </w:div>
    <w:div w:id="910120478">
      <w:marLeft w:val="0"/>
      <w:marRight w:val="0"/>
      <w:marTop w:val="0"/>
      <w:marBottom w:val="0"/>
      <w:divBdr>
        <w:top w:val="none" w:sz="0" w:space="0" w:color="auto"/>
        <w:left w:val="none" w:sz="0" w:space="0" w:color="auto"/>
        <w:bottom w:val="none" w:sz="0" w:space="0" w:color="auto"/>
        <w:right w:val="none" w:sz="0" w:space="0" w:color="auto"/>
      </w:divBdr>
    </w:div>
    <w:div w:id="910120481">
      <w:marLeft w:val="0"/>
      <w:marRight w:val="0"/>
      <w:marTop w:val="0"/>
      <w:marBottom w:val="0"/>
      <w:divBdr>
        <w:top w:val="none" w:sz="0" w:space="0" w:color="auto"/>
        <w:left w:val="none" w:sz="0" w:space="0" w:color="auto"/>
        <w:bottom w:val="none" w:sz="0" w:space="0" w:color="auto"/>
        <w:right w:val="none" w:sz="0" w:space="0" w:color="auto"/>
      </w:divBdr>
    </w:div>
    <w:div w:id="910120482">
      <w:marLeft w:val="0"/>
      <w:marRight w:val="0"/>
      <w:marTop w:val="0"/>
      <w:marBottom w:val="0"/>
      <w:divBdr>
        <w:top w:val="none" w:sz="0" w:space="0" w:color="auto"/>
        <w:left w:val="none" w:sz="0" w:space="0" w:color="auto"/>
        <w:bottom w:val="none" w:sz="0" w:space="0" w:color="auto"/>
        <w:right w:val="none" w:sz="0" w:space="0" w:color="auto"/>
      </w:divBdr>
      <w:divsChild>
        <w:div w:id="910120450">
          <w:marLeft w:val="0"/>
          <w:marRight w:val="0"/>
          <w:marTop w:val="168"/>
          <w:marBottom w:val="0"/>
          <w:divBdr>
            <w:top w:val="none" w:sz="0" w:space="0" w:color="auto"/>
            <w:left w:val="none" w:sz="0" w:space="0" w:color="auto"/>
            <w:bottom w:val="none" w:sz="0" w:space="0" w:color="auto"/>
            <w:right w:val="none" w:sz="0" w:space="0" w:color="auto"/>
          </w:divBdr>
        </w:div>
        <w:div w:id="910120456">
          <w:marLeft w:val="0"/>
          <w:marRight w:val="0"/>
          <w:marTop w:val="168"/>
          <w:marBottom w:val="0"/>
          <w:divBdr>
            <w:top w:val="none" w:sz="0" w:space="0" w:color="auto"/>
            <w:left w:val="none" w:sz="0" w:space="0" w:color="auto"/>
            <w:bottom w:val="none" w:sz="0" w:space="0" w:color="auto"/>
            <w:right w:val="none" w:sz="0" w:space="0" w:color="auto"/>
          </w:divBdr>
        </w:div>
        <w:div w:id="910120466">
          <w:marLeft w:val="0"/>
          <w:marRight w:val="0"/>
          <w:marTop w:val="168"/>
          <w:marBottom w:val="0"/>
          <w:divBdr>
            <w:top w:val="none" w:sz="0" w:space="0" w:color="auto"/>
            <w:left w:val="none" w:sz="0" w:space="0" w:color="auto"/>
            <w:bottom w:val="none" w:sz="0" w:space="0" w:color="auto"/>
            <w:right w:val="none" w:sz="0" w:space="0" w:color="auto"/>
          </w:divBdr>
        </w:div>
        <w:div w:id="910120487">
          <w:marLeft w:val="0"/>
          <w:marRight w:val="0"/>
          <w:marTop w:val="168"/>
          <w:marBottom w:val="0"/>
          <w:divBdr>
            <w:top w:val="none" w:sz="0" w:space="0" w:color="auto"/>
            <w:left w:val="none" w:sz="0" w:space="0" w:color="auto"/>
            <w:bottom w:val="none" w:sz="0" w:space="0" w:color="auto"/>
            <w:right w:val="none" w:sz="0" w:space="0" w:color="auto"/>
          </w:divBdr>
        </w:div>
      </w:divsChild>
    </w:div>
    <w:div w:id="910120485">
      <w:marLeft w:val="0"/>
      <w:marRight w:val="0"/>
      <w:marTop w:val="0"/>
      <w:marBottom w:val="0"/>
      <w:divBdr>
        <w:top w:val="none" w:sz="0" w:space="0" w:color="auto"/>
        <w:left w:val="none" w:sz="0" w:space="0" w:color="auto"/>
        <w:bottom w:val="none" w:sz="0" w:space="0" w:color="auto"/>
        <w:right w:val="none" w:sz="0" w:space="0" w:color="auto"/>
      </w:divBdr>
    </w:div>
    <w:div w:id="910120488">
      <w:marLeft w:val="0"/>
      <w:marRight w:val="0"/>
      <w:marTop w:val="0"/>
      <w:marBottom w:val="0"/>
      <w:divBdr>
        <w:top w:val="none" w:sz="0" w:space="0" w:color="auto"/>
        <w:left w:val="none" w:sz="0" w:space="0" w:color="auto"/>
        <w:bottom w:val="none" w:sz="0" w:space="0" w:color="auto"/>
        <w:right w:val="none" w:sz="0" w:space="0" w:color="auto"/>
      </w:divBdr>
    </w:div>
    <w:div w:id="910120489">
      <w:marLeft w:val="0"/>
      <w:marRight w:val="0"/>
      <w:marTop w:val="0"/>
      <w:marBottom w:val="0"/>
      <w:divBdr>
        <w:top w:val="none" w:sz="0" w:space="0" w:color="auto"/>
        <w:left w:val="none" w:sz="0" w:space="0" w:color="auto"/>
        <w:bottom w:val="none" w:sz="0" w:space="0" w:color="auto"/>
        <w:right w:val="none" w:sz="0" w:space="0" w:color="auto"/>
      </w:divBdr>
    </w:div>
    <w:div w:id="910120490">
      <w:marLeft w:val="0"/>
      <w:marRight w:val="0"/>
      <w:marTop w:val="0"/>
      <w:marBottom w:val="0"/>
      <w:divBdr>
        <w:top w:val="none" w:sz="0" w:space="0" w:color="auto"/>
        <w:left w:val="none" w:sz="0" w:space="0" w:color="auto"/>
        <w:bottom w:val="none" w:sz="0" w:space="0" w:color="auto"/>
        <w:right w:val="none" w:sz="0" w:space="0" w:color="auto"/>
      </w:divBdr>
    </w:div>
    <w:div w:id="910120492">
      <w:marLeft w:val="0"/>
      <w:marRight w:val="0"/>
      <w:marTop w:val="0"/>
      <w:marBottom w:val="0"/>
      <w:divBdr>
        <w:top w:val="none" w:sz="0" w:space="0" w:color="auto"/>
        <w:left w:val="none" w:sz="0" w:space="0" w:color="auto"/>
        <w:bottom w:val="none" w:sz="0" w:space="0" w:color="auto"/>
        <w:right w:val="none" w:sz="0" w:space="0" w:color="auto"/>
      </w:divBdr>
      <w:divsChild>
        <w:div w:id="910120502">
          <w:marLeft w:val="0"/>
          <w:marRight w:val="0"/>
          <w:marTop w:val="0"/>
          <w:marBottom w:val="0"/>
          <w:divBdr>
            <w:top w:val="none" w:sz="0" w:space="0" w:color="auto"/>
            <w:left w:val="none" w:sz="0" w:space="0" w:color="auto"/>
            <w:bottom w:val="none" w:sz="0" w:space="0" w:color="auto"/>
            <w:right w:val="none" w:sz="0" w:space="0" w:color="auto"/>
          </w:divBdr>
        </w:div>
      </w:divsChild>
    </w:div>
    <w:div w:id="910120493">
      <w:marLeft w:val="0"/>
      <w:marRight w:val="0"/>
      <w:marTop w:val="0"/>
      <w:marBottom w:val="0"/>
      <w:divBdr>
        <w:top w:val="none" w:sz="0" w:space="0" w:color="auto"/>
        <w:left w:val="none" w:sz="0" w:space="0" w:color="auto"/>
        <w:bottom w:val="none" w:sz="0" w:space="0" w:color="auto"/>
        <w:right w:val="none" w:sz="0" w:space="0" w:color="auto"/>
      </w:divBdr>
      <w:divsChild>
        <w:div w:id="910120452">
          <w:marLeft w:val="0"/>
          <w:marRight w:val="0"/>
          <w:marTop w:val="0"/>
          <w:marBottom w:val="0"/>
          <w:divBdr>
            <w:top w:val="none" w:sz="0" w:space="0" w:color="auto"/>
            <w:left w:val="none" w:sz="0" w:space="0" w:color="auto"/>
            <w:bottom w:val="none" w:sz="0" w:space="0" w:color="auto"/>
            <w:right w:val="none" w:sz="0" w:space="0" w:color="auto"/>
          </w:divBdr>
        </w:div>
      </w:divsChild>
    </w:div>
    <w:div w:id="910120494">
      <w:marLeft w:val="0"/>
      <w:marRight w:val="0"/>
      <w:marTop w:val="0"/>
      <w:marBottom w:val="0"/>
      <w:divBdr>
        <w:top w:val="none" w:sz="0" w:space="0" w:color="auto"/>
        <w:left w:val="none" w:sz="0" w:space="0" w:color="auto"/>
        <w:bottom w:val="none" w:sz="0" w:space="0" w:color="auto"/>
        <w:right w:val="none" w:sz="0" w:space="0" w:color="auto"/>
      </w:divBdr>
    </w:div>
    <w:div w:id="910120496">
      <w:marLeft w:val="0"/>
      <w:marRight w:val="0"/>
      <w:marTop w:val="0"/>
      <w:marBottom w:val="0"/>
      <w:divBdr>
        <w:top w:val="none" w:sz="0" w:space="0" w:color="auto"/>
        <w:left w:val="none" w:sz="0" w:space="0" w:color="auto"/>
        <w:bottom w:val="none" w:sz="0" w:space="0" w:color="auto"/>
        <w:right w:val="none" w:sz="0" w:space="0" w:color="auto"/>
      </w:divBdr>
      <w:divsChild>
        <w:div w:id="910120458">
          <w:marLeft w:val="1440"/>
          <w:marRight w:val="0"/>
          <w:marTop w:val="108"/>
          <w:marBottom w:val="0"/>
          <w:divBdr>
            <w:top w:val="none" w:sz="0" w:space="0" w:color="auto"/>
            <w:left w:val="none" w:sz="0" w:space="0" w:color="auto"/>
            <w:bottom w:val="none" w:sz="0" w:space="0" w:color="auto"/>
            <w:right w:val="none" w:sz="0" w:space="0" w:color="auto"/>
          </w:divBdr>
        </w:div>
        <w:div w:id="910120484">
          <w:marLeft w:val="1440"/>
          <w:marRight w:val="0"/>
          <w:marTop w:val="108"/>
          <w:marBottom w:val="0"/>
          <w:divBdr>
            <w:top w:val="none" w:sz="0" w:space="0" w:color="auto"/>
            <w:left w:val="none" w:sz="0" w:space="0" w:color="auto"/>
            <w:bottom w:val="none" w:sz="0" w:space="0" w:color="auto"/>
            <w:right w:val="none" w:sz="0" w:space="0" w:color="auto"/>
          </w:divBdr>
        </w:div>
        <w:div w:id="910120498">
          <w:marLeft w:val="1440"/>
          <w:marRight w:val="0"/>
          <w:marTop w:val="108"/>
          <w:marBottom w:val="0"/>
          <w:divBdr>
            <w:top w:val="none" w:sz="0" w:space="0" w:color="auto"/>
            <w:left w:val="none" w:sz="0" w:space="0" w:color="auto"/>
            <w:bottom w:val="none" w:sz="0" w:space="0" w:color="auto"/>
            <w:right w:val="none" w:sz="0" w:space="0" w:color="auto"/>
          </w:divBdr>
        </w:div>
        <w:div w:id="910120500">
          <w:marLeft w:val="1440"/>
          <w:marRight w:val="0"/>
          <w:marTop w:val="108"/>
          <w:marBottom w:val="0"/>
          <w:divBdr>
            <w:top w:val="none" w:sz="0" w:space="0" w:color="auto"/>
            <w:left w:val="none" w:sz="0" w:space="0" w:color="auto"/>
            <w:bottom w:val="none" w:sz="0" w:space="0" w:color="auto"/>
            <w:right w:val="none" w:sz="0" w:space="0" w:color="auto"/>
          </w:divBdr>
        </w:div>
        <w:div w:id="910120501">
          <w:marLeft w:val="1440"/>
          <w:marRight w:val="0"/>
          <w:marTop w:val="108"/>
          <w:marBottom w:val="0"/>
          <w:divBdr>
            <w:top w:val="none" w:sz="0" w:space="0" w:color="auto"/>
            <w:left w:val="none" w:sz="0" w:space="0" w:color="auto"/>
            <w:bottom w:val="none" w:sz="0" w:space="0" w:color="auto"/>
            <w:right w:val="none" w:sz="0" w:space="0" w:color="auto"/>
          </w:divBdr>
        </w:div>
      </w:divsChild>
    </w:div>
    <w:div w:id="910120497">
      <w:marLeft w:val="0"/>
      <w:marRight w:val="0"/>
      <w:marTop w:val="0"/>
      <w:marBottom w:val="0"/>
      <w:divBdr>
        <w:top w:val="none" w:sz="0" w:space="0" w:color="auto"/>
        <w:left w:val="none" w:sz="0" w:space="0" w:color="auto"/>
        <w:bottom w:val="none" w:sz="0" w:space="0" w:color="auto"/>
        <w:right w:val="none" w:sz="0" w:space="0" w:color="auto"/>
      </w:divBdr>
    </w:div>
    <w:div w:id="910120499">
      <w:marLeft w:val="0"/>
      <w:marRight w:val="0"/>
      <w:marTop w:val="0"/>
      <w:marBottom w:val="0"/>
      <w:divBdr>
        <w:top w:val="none" w:sz="0" w:space="0" w:color="auto"/>
        <w:left w:val="none" w:sz="0" w:space="0" w:color="auto"/>
        <w:bottom w:val="none" w:sz="0" w:space="0" w:color="auto"/>
        <w:right w:val="none" w:sz="0" w:space="0" w:color="auto"/>
      </w:divBdr>
    </w:div>
    <w:div w:id="910120503">
      <w:marLeft w:val="0"/>
      <w:marRight w:val="0"/>
      <w:marTop w:val="0"/>
      <w:marBottom w:val="0"/>
      <w:divBdr>
        <w:top w:val="none" w:sz="0" w:space="0" w:color="auto"/>
        <w:left w:val="none" w:sz="0" w:space="0" w:color="auto"/>
        <w:bottom w:val="none" w:sz="0" w:space="0" w:color="auto"/>
        <w:right w:val="none" w:sz="0" w:space="0" w:color="auto"/>
      </w:divBdr>
      <w:divsChild>
        <w:div w:id="910120447">
          <w:marLeft w:val="1440"/>
          <w:marRight w:val="0"/>
          <w:marTop w:val="108"/>
          <w:marBottom w:val="0"/>
          <w:divBdr>
            <w:top w:val="none" w:sz="0" w:space="0" w:color="auto"/>
            <w:left w:val="none" w:sz="0" w:space="0" w:color="auto"/>
            <w:bottom w:val="none" w:sz="0" w:space="0" w:color="auto"/>
            <w:right w:val="none" w:sz="0" w:space="0" w:color="auto"/>
          </w:divBdr>
        </w:div>
        <w:div w:id="910120455">
          <w:marLeft w:val="1440"/>
          <w:marRight w:val="0"/>
          <w:marTop w:val="108"/>
          <w:marBottom w:val="0"/>
          <w:divBdr>
            <w:top w:val="none" w:sz="0" w:space="0" w:color="auto"/>
            <w:left w:val="none" w:sz="0" w:space="0" w:color="auto"/>
            <w:bottom w:val="none" w:sz="0" w:space="0" w:color="auto"/>
            <w:right w:val="none" w:sz="0" w:space="0" w:color="auto"/>
          </w:divBdr>
        </w:div>
        <w:div w:id="910120470">
          <w:marLeft w:val="1440"/>
          <w:marRight w:val="0"/>
          <w:marTop w:val="108"/>
          <w:marBottom w:val="0"/>
          <w:divBdr>
            <w:top w:val="none" w:sz="0" w:space="0" w:color="auto"/>
            <w:left w:val="none" w:sz="0" w:space="0" w:color="auto"/>
            <w:bottom w:val="none" w:sz="0" w:space="0" w:color="auto"/>
            <w:right w:val="none" w:sz="0" w:space="0" w:color="auto"/>
          </w:divBdr>
        </w:div>
        <w:div w:id="910120475">
          <w:marLeft w:val="1440"/>
          <w:marRight w:val="0"/>
          <w:marTop w:val="108"/>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18</TotalTime>
  <Pages>3</Pages>
  <Words>884</Words>
  <Characters>5043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Contact:</dc:title>
  <dc:subject/>
  <dc:creator>Dermot Bambridge</dc:creator>
  <cp:keywords/>
  <dc:description/>
  <cp:lastModifiedBy> </cp:lastModifiedBy>
  <cp:revision>5</cp:revision>
  <cp:lastPrinted>2011-08-01T04:57:00Z</cp:lastPrinted>
  <dcterms:created xsi:type="dcterms:W3CDTF">2011-10-05T12:33:00Z</dcterms:created>
  <dcterms:modified xsi:type="dcterms:W3CDTF">2011-10-05T12:50:00Z</dcterms:modified>
</cp:coreProperties>
</file>