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0FFE" w:rsidRPr="00DD59ED" w:rsidRDefault="00E90FFE" w:rsidP="000061D9">
      <w:pPr>
        <w:pStyle w:val="PressInformation"/>
        <w:rPr>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53.75pt;height:31.5pt;visibility:visible">
            <v:imagedata r:id="rId7" o:title=""/>
          </v:shape>
        </w:pict>
      </w:r>
    </w:p>
    <w:p w:rsidR="00E90FFE" w:rsidRPr="00DD59ED" w:rsidRDefault="00E90FFE" w:rsidP="000061D9">
      <w:pPr>
        <w:pStyle w:val="PressInformation"/>
        <w:rPr>
          <w:lang w:val="en-US"/>
        </w:rPr>
      </w:pPr>
    </w:p>
    <w:p w:rsidR="00E90FFE" w:rsidRPr="00760109" w:rsidRDefault="00E90FFE" w:rsidP="00956590">
      <w:pPr>
        <w:ind w:left="5760" w:right="-540"/>
        <w:rPr>
          <w:rFonts w:ascii="Arial" w:hAnsi="Arial" w:cs="Arial"/>
          <w:sz w:val="22"/>
          <w:szCs w:val="22"/>
          <w:u w:val="single"/>
          <w:lang w:val="sv-SE"/>
        </w:rPr>
      </w:pPr>
      <w:r w:rsidRPr="00760109">
        <w:rPr>
          <w:rFonts w:ascii="Arial" w:hAnsi="Arial" w:cs="Arial"/>
          <w:sz w:val="20"/>
          <w:szCs w:val="20"/>
          <w:u w:val="single"/>
          <w:lang w:val="sv-SE"/>
        </w:rPr>
        <w:t>Kontakt:</w:t>
      </w:r>
    </w:p>
    <w:p w:rsidR="00E90FFE" w:rsidRPr="00760109" w:rsidRDefault="00E90FFE" w:rsidP="00956590">
      <w:pPr>
        <w:ind w:left="5760" w:right="-540"/>
        <w:rPr>
          <w:rFonts w:ascii="Arial" w:hAnsi="Arial" w:cs="Arial"/>
          <w:sz w:val="20"/>
          <w:szCs w:val="20"/>
          <w:lang w:val="sv-SE"/>
        </w:rPr>
      </w:pPr>
      <w:r w:rsidRPr="00760109">
        <w:rPr>
          <w:rFonts w:ascii="Arial" w:hAnsi="Arial" w:cs="Arial"/>
          <w:sz w:val="20"/>
          <w:szCs w:val="20"/>
          <w:lang w:val="sv-SE"/>
        </w:rPr>
        <w:t>Linda Brandelius</w:t>
      </w:r>
    </w:p>
    <w:p w:rsidR="00E90FFE" w:rsidRPr="00760109" w:rsidRDefault="00E90FFE" w:rsidP="00956590">
      <w:pPr>
        <w:ind w:left="5760" w:right="-540"/>
        <w:rPr>
          <w:rFonts w:ascii="Arial" w:hAnsi="Arial" w:cs="Arial"/>
          <w:sz w:val="20"/>
          <w:szCs w:val="20"/>
          <w:lang w:val="sv-SE" w:eastAsia="en-GB"/>
        </w:rPr>
      </w:pPr>
      <w:r w:rsidRPr="00760109">
        <w:rPr>
          <w:rFonts w:ascii="Arial" w:hAnsi="Arial" w:cs="Arial"/>
          <w:sz w:val="20"/>
          <w:szCs w:val="20"/>
          <w:lang w:val="sv-SE"/>
        </w:rPr>
        <w:t>Linda_brandelius@goodyear.com</w:t>
      </w:r>
    </w:p>
    <w:p w:rsidR="00E90FFE" w:rsidRPr="00760109" w:rsidRDefault="00E90FFE" w:rsidP="007C1023">
      <w:pPr>
        <w:pStyle w:val="PressRelease"/>
        <w:rPr>
          <w:lang w:val="da-DK"/>
        </w:rPr>
      </w:pPr>
      <w:r w:rsidRPr="00760109">
        <w:rPr>
          <w:lang w:val="da-DK"/>
        </w:rPr>
        <w:t>PRESSEMELDING</w:t>
      </w:r>
    </w:p>
    <w:p w:rsidR="00E90FFE" w:rsidRPr="00760109" w:rsidRDefault="00E90FFE" w:rsidP="00840B3F">
      <w:pPr>
        <w:pStyle w:val="Title"/>
        <w:spacing w:line="360" w:lineRule="auto"/>
        <w:rPr>
          <w:sz w:val="10"/>
          <w:szCs w:val="10"/>
          <w:lang w:val="da-DK"/>
        </w:rPr>
      </w:pPr>
    </w:p>
    <w:p w:rsidR="00E90FFE" w:rsidRPr="00760109" w:rsidRDefault="00E90FFE" w:rsidP="008B5A6B">
      <w:pPr>
        <w:pStyle w:val="Title"/>
        <w:spacing w:line="360" w:lineRule="auto"/>
        <w:rPr>
          <w:sz w:val="36"/>
          <w:szCs w:val="36"/>
          <w:lang w:val="da-DK"/>
        </w:rPr>
      </w:pPr>
      <w:bookmarkStart w:id="0" w:name="OLE_LINK39"/>
      <w:r w:rsidRPr="00760109">
        <w:rPr>
          <w:sz w:val="36"/>
          <w:szCs w:val="36"/>
          <w:lang w:val="da-DK"/>
        </w:rPr>
        <w:t>Goodyear lanserer lastebildekkserien Marathon +</w:t>
      </w:r>
    </w:p>
    <w:p w:rsidR="00E90FFE" w:rsidRPr="00760109" w:rsidRDefault="00E90FFE" w:rsidP="008B5A6B">
      <w:pPr>
        <w:pStyle w:val="Title"/>
        <w:spacing w:line="360" w:lineRule="auto"/>
        <w:rPr>
          <w:i/>
          <w:sz w:val="28"/>
          <w:szCs w:val="28"/>
          <w:lang w:val="da-DK"/>
        </w:rPr>
      </w:pPr>
      <w:r w:rsidRPr="00760109">
        <w:rPr>
          <w:i/>
          <w:sz w:val="28"/>
          <w:szCs w:val="28"/>
          <w:lang w:val="da-DK"/>
        </w:rPr>
        <w:t>For lavere driftskostnader og bedre grep på vått underlag</w:t>
      </w:r>
    </w:p>
    <w:p w:rsidR="00E90FFE" w:rsidRPr="00760109" w:rsidRDefault="00E90FFE" w:rsidP="00511BFA">
      <w:pPr>
        <w:spacing w:after="120" w:line="360" w:lineRule="auto"/>
        <w:jc w:val="both"/>
        <w:rPr>
          <w:rFonts w:ascii="Arial" w:hAnsi="Arial" w:cs="Arial"/>
          <w:sz w:val="22"/>
          <w:szCs w:val="22"/>
          <w:lang w:val="da-DK"/>
        </w:rPr>
      </w:pPr>
      <w:r>
        <w:rPr>
          <w:noProof/>
          <w:lang w:val="en-US"/>
        </w:rPr>
        <w:pict>
          <v:shape id="Picture 2" o:spid="_x0000_s1026" type="#_x0000_t75" alt="Marathon LHS II __315-80 R22" style="position:absolute;left:0;text-align:left;margin-left:208.5pt;margin-top:4.75pt;width:232.85pt;height:174.2pt;z-index:251658240;visibility:visible">
            <v:imagedata r:id="rId8" o:title=""/>
            <w10:wrap type="square"/>
          </v:shape>
        </w:pict>
      </w:r>
      <w:r w:rsidRPr="00760109">
        <w:rPr>
          <w:rFonts w:ascii="Arial" w:hAnsi="Arial" w:cs="Arial"/>
          <w:sz w:val="22"/>
          <w:szCs w:val="22"/>
          <w:lang w:val="da-DK"/>
        </w:rPr>
        <w:t xml:space="preserve">Brussel, </w:t>
      </w:r>
      <w:r>
        <w:rPr>
          <w:rFonts w:ascii="Arial" w:hAnsi="Arial" w:cs="Arial"/>
          <w:sz w:val="22"/>
          <w:szCs w:val="22"/>
          <w:lang w:val="da-DK"/>
        </w:rPr>
        <w:t>30</w:t>
      </w:r>
      <w:r w:rsidRPr="00760109">
        <w:rPr>
          <w:rFonts w:ascii="Arial" w:hAnsi="Arial" w:cs="Arial"/>
          <w:sz w:val="22"/>
          <w:szCs w:val="22"/>
          <w:lang w:val="da-DK"/>
        </w:rPr>
        <w:t xml:space="preserve">. november 2011 – Med lanseringen av den helt nye serien Goodyear </w:t>
      </w:r>
      <w:bookmarkEnd w:id="0"/>
      <w:r w:rsidRPr="00760109">
        <w:rPr>
          <w:rFonts w:ascii="Arial" w:hAnsi="Arial" w:cs="Arial"/>
          <w:sz w:val="22"/>
          <w:szCs w:val="22"/>
          <w:lang w:val="da-DK"/>
        </w:rPr>
        <w:t>Marathon + innfører vi en serie lastebildekk som reduserer driftskostnadene enda mer enn forgjengerne</w:t>
      </w:r>
      <w:r w:rsidRPr="00DD59ED">
        <w:rPr>
          <w:rStyle w:val="FootnoteReference"/>
          <w:rFonts w:ascii="Arial" w:hAnsi="Arial" w:cs="Arial"/>
          <w:sz w:val="22"/>
          <w:szCs w:val="22"/>
          <w:lang w:val="en-US"/>
        </w:rPr>
        <w:footnoteReference w:id="1"/>
      </w:r>
      <w:r w:rsidRPr="00760109">
        <w:rPr>
          <w:rFonts w:ascii="Arial" w:hAnsi="Arial" w:cs="Arial"/>
          <w:sz w:val="22"/>
          <w:szCs w:val="22"/>
          <w:lang w:val="da-DK"/>
        </w:rPr>
        <w:t xml:space="preserve"> og konkurrentene</w:t>
      </w:r>
      <w:r w:rsidRPr="00DD59ED">
        <w:rPr>
          <w:rStyle w:val="FootnoteReference"/>
          <w:rFonts w:ascii="Arial" w:hAnsi="Arial" w:cs="Arial"/>
          <w:sz w:val="22"/>
          <w:szCs w:val="22"/>
          <w:lang w:val="en-US"/>
        </w:rPr>
        <w:footnoteReference w:id="2"/>
      </w:r>
      <w:r w:rsidRPr="00760109">
        <w:rPr>
          <w:rFonts w:ascii="Arial" w:hAnsi="Arial" w:cs="Arial"/>
          <w:sz w:val="22"/>
          <w:szCs w:val="22"/>
          <w:lang w:val="da-DK"/>
        </w:rPr>
        <w:t xml:space="preserve">. </w:t>
      </w:r>
      <w:bookmarkStart w:id="1" w:name="_GoBack"/>
      <w:bookmarkEnd w:id="1"/>
      <w:r w:rsidRPr="00760109">
        <w:rPr>
          <w:rFonts w:ascii="Arial" w:hAnsi="Arial" w:cs="Arial"/>
          <w:sz w:val="22"/>
          <w:szCs w:val="22"/>
          <w:lang w:val="da-DK"/>
        </w:rPr>
        <w:t>Goodyear Marathon LHS II + og LHD II + styre- og drivakseldekk for langtransport har den laveste rullemotstanden av alle Goodyears lastebildekk og bedre grep på vått underlag enn konkurrentene</w:t>
      </w:r>
      <w:r w:rsidRPr="00760109">
        <w:rPr>
          <w:rFonts w:ascii="Arial" w:hAnsi="Arial" w:cs="Arial"/>
          <w:sz w:val="22"/>
          <w:szCs w:val="22"/>
          <w:vertAlign w:val="superscript"/>
          <w:lang w:val="da-DK"/>
        </w:rPr>
        <w:t>2</w:t>
      </w:r>
      <w:r w:rsidRPr="00760109">
        <w:rPr>
          <w:rFonts w:ascii="Arial" w:hAnsi="Arial" w:cs="Arial"/>
          <w:sz w:val="22"/>
          <w:szCs w:val="22"/>
          <w:lang w:val="da-DK"/>
        </w:rPr>
        <w:t xml:space="preserve"> uten at det går på bekostning av kjørelengden. Rullemotstanden på de nye dekkene er 7 % lavere enn på Marathon LHS II og LHD II, noe som betyr enda lavere drivstofforbruk og lavere utslipp</w:t>
      </w:r>
      <w:r w:rsidRPr="00760109">
        <w:rPr>
          <w:rStyle w:val="FootnoteReference"/>
          <w:rFonts w:ascii="Arial" w:hAnsi="Arial" w:cs="Arial"/>
          <w:sz w:val="22"/>
          <w:szCs w:val="22"/>
          <w:lang w:val="da-DK"/>
        </w:rPr>
        <w:t>1</w:t>
      </w:r>
      <w:r w:rsidRPr="00760109">
        <w:rPr>
          <w:rFonts w:ascii="Arial" w:hAnsi="Arial" w:cs="Arial"/>
          <w:sz w:val="22"/>
          <w:szCs w:val="22"/>
          <w:lang w:val="da-DK"/>
        </w:rPr>
        <w:t>. TÜV Süd Automotive</w:t>
      </w:r>
      <w:r w:rsidRPr="00760109">
        <w:rPr>
          <w:rFonts w:ascii="Arial" w:hAnsi="Arial" w:cs="Arial"/>
          <w:sz w:val="22"/>
          <w:szCs w:val="22"/>
          <w:vertAlign w:val="superscript"/>
          <w:lang w:val="da-DK"/>
        </w:rPr>
        <w:t>2</w:t>
      </w:r>
      <w:r w:rsidRPr="00760109">
        <w:rPr>
          <w:rFonts w:ascii="Arial" w:hAnsi="Arial" w:cs="Arial"/>
          <w:sz w:val="22"/>
          <w:szCs w:val="22"/>
          <w:lang w:val="da-DK"/>
        </w:rPr>
        <w:t xml:space="preserve"> har utført tester der de sammenlignet egenskapene for de nye Marathon +-dekkene med tre hovedkonkurrenter. De demonstrerer de nye dekkenes overlegne rullemotstand og bremseegenskaper på vått underlag. Nøkkelen til de teknologiske fremskrittene som har gjort dette mulig, er et nyskapende slitebanemateriale som kalles Silefex.</w:t>
      </w:r>
    </w:p>
    <w:p w:rsidR="00E90FFE" w:rsidRPr="00760109" w:rsidRDefault="00E90FFE" w:rsidP="00427D6C">
      <w:pPr>
        <w:spacing w:after="40"/>
        <w:jc w:val="both"/>
        <w:rPr>
          <w:rFonts w:ascii="Arial" w:hAnsi="Arial" w:cs="Arial"/>
          <w:b/>
          <w:sz w:val="22"/>
          <w:szCs w:val="22"/>
          <w:lang w:val="da-DK"/>
        </w:rPr>
      </w:pPr>
      <w:r w:rsidRPr="00760109">
        <w:rPr>
          <w:rFonts w:ascii="Arial" w:hAnsi="Arial" w:cs="Arial"/>
          <w:b/>
          <w:sz w:val="22"/>
          <w:szCs w:val="22"/>
          <w:lang w:val="da-DK"/>
        </w:rPr>
        <w:t>MARKEDSDATA</w:t>
      </w:r>
    </w:p>
    <w:p w:rsidR="00E90FFE" w:rsidRPr="00760109" w:rsidRDefault="00E90FFE" w:rsidP="00777E35">
      <w:pPr>
        <w:spacing w:after="120" w:line="360" w:lineRule="auto"/>
        <w:jc w:val="both"/>
        <w:rPr>
          <w:rFonts w:ascii="Arial" w:hAnsi="Arial" w:cs="Arial"/>
          <w:sz w:val="22"/>
          <w:szCs w:val="22"/>
          <w:lang w:val="da-DK"/>
        </w:rPr>
      </w:pPr>
      <w:r w:rsidRPr="00760109">
        <w:rPr>
          <w:rFonts w:ascii="Arial" w:hAnsi="Arial" w:cs="Arial"/>
          <w:sz w:val="22"/>
          <w:szCs w:val="22"/>
          <w:lang w:val="da-DK"/>
        </w:rPr>
        <w:t>Med drivstoffkostnader som i enkelte tilfeller står for 34,9 % av samlede driftskostnader for et kjøretøy, etterfulgt av sjåførkostnader, 27,1 % og dekkostnader bare 2,4 %</w:t>
      </w:r>
      <w:r w:rsidRPr="00DD59ED">
        <w:rPr>
          <w:rStyle w:val="FootnoteReference"/>
          <w:rFonts w:ascii="Arial" w:hAnsi="Arial" w:cs="Arial"/>
          <w:sz w:val="22"/>
          <w:szCs w:val="22"/>
          <w:lang w:val="en-US"/>
        </w:rPr>
        <w:footnoteReference w:id="3"/>
      </w:r>
      <w:r w:rsidRPr="00760109">
        <w:rPr>
          <w:rFonts w:ascii="Arial" w:hAnsi="Arial" w:cs="Arial"/>
          <w:sz w:val="22"/>
          <w:szCs w:val="22"/>
          <w:lang w:val="da-DK"/>
        </w:rPr>
        <w:t>, fokuserer Goodyear på teknologi som reduserer drivstofforbruket enda mer. Vi tar ingen snarveier innenfor forsknings- og utviklingsarbeidet på dette området, og å opprettholde og til og med forbedre kjørelengden og grepet på vått underlag er også av stor betydning i dette arbeidet.</w:t>
      </w:r>
    </w:p>
    <w:p w:rsidR="00E90FFE" w:rsidRPr="00760109" w:rsidRDefault="00E90FFE" w:rsidP="00427D6C">
      <w:pPr>
        <w:spacing w:after="40"/>
        <w:jc w:val="both"/>
        <w:rPr>
          <w:rFonts w:ascii="Arial" w:hAnsi="Arial" w:cs="Arial"/>
          <w:b/>
          <w:sz w:val="22"/>
          <w:szCs w:val="22"/>
          <w:lang w:val="da-DK"/>
        </w:rPr>
      </w:pPr>
      <w:r w:rsidRPr="00760109">
        <w:rPr>
          <w:rFonts w:ascii="Arial" w:hAnsi="Arial" w:cs="Arial"/>
          <w:b/>
          <w:sz w:val="22"/>
          <w:szCs w:val="22"/>
          <w:lang w:val="da-DK"/>
        </w:rPr>
        <w:t>SILEFEX-TEKNOLOGI</w:t>
      </w:r>
    </w:p>
    <w:p w:rsidR="00E90FFE" w:rsidRPr="00760109" w:rsidRDefault="00E90FFE" w:rsidP="00117D96">
      <w:pPr>
        <w:spacing w:after="120" w:line="360" w:lineRule="auto"/>
        <w:jc w:val="both"/>
        <w:rPr>
          <w:rFonts w:ascii="Arial" w:hAnsi="Arial" w:cs="Arial"/>
          <w:sz w:val="22"/>
          <w:szCs w:val="22"/>
          <w:vertAlign w:val="superscript"/>
          <w:lang w:val="da-DK"/>
        </w:rPr>
      </w:pPr>
      <w:r w:rsidRPr="00760109">
        <w:rPr>
          <w:rFonts w:ascii="Arial" w:hAnsi="Arial" w:cs="Arial"/>
          <w:sz w:val="22"/>
          <w:szCs w:val="22"/>
          <w:lang w:val="da-DK"/>
        </w:rPr>
        <w:t xml:space="preserve">De høye rullemotstandsnivået – 7 % bedre enn forgjengerne – har vi oppnådd takket være et nytt, forbedret slitebanemateriale som kalles Silefex. Grepet på vått underlag er også bemerkelsesverdig. Silefex er utviklet på Goodyear Innovation Center Luxembourg. Det inneholder en optimal blanding av silikafyllere og førsteklasses naturgummi.  </w:t>
      </w:r>
    </w:p>
    <w:p w:rsidR="00E90FFE" w:rsidRPr="00760109" w:rsidRDefault="00E90FFE" w:rsidP="00427D6C">
      <w:pPr>
        <w:spacing w:after="40"/>
        <w:jc w:val="both"/>
        <w:rPr>
          <w:rFonts w:ascii="Arial" w:hAnsi="Arial" w:cs="Arial"/>
          <w:b/>
          <w:sz w:val="22"/>
          <w:szCs w:val="22"/>
          <w:lang w:val="da-DK"/>
        </w:rPr>
      </w:pPr>
      <w:r w:rsidRPr="00760109">
        <w:rPr>
          <w:rFonts w:ascii="Arial" w:hAnsi="Arial" w:cs="Arial"/>
          <w:b/>
          <w:sz w:val="22"/>
          <w:szCs w:val="22"/>
          <w:lang w:val="da-DK"/>
        </w:rPr>
        <w:t>ANDRE FORDELER</w:t>
      </w:r>
    </w:p>
    <w:p w:rsidR="00E90FFE" w:rsidRPr="00760109" w:rsidRDefault="00E90FFE" w:rsidP="00117D96">
      <w:pPr>
        <w:spacing w:after="120" w:line="360" w:lineRule="auto"/>
        <w:jc w:val="both"/>
        <w:rPr>
          <w:rFonts w:ascii="Arial" w:hAnsi="Arial" w:cs="Arial"/>
          <w:sz w:val="22"/>
          <w:szCs w:val="22"/>
          <w:lang w:val="da-DK"/>
        </w:rPr>
      </w:pPr>
      <w:r>
        <w:rPr>
          <w:noProof/>
          <w:lang w:val="en-US"/>
        </w:rPr>
        <w:pict>
          <v:shape id="Picture 3" o:spid="_x0000_s1027" type="#_x0000_t75" alt="Marathon LHD II __315-80 R22" style="position:absolute;left:0;text-align:left;margin-left:-.75pt;margin-top:6.45pt;width:200.25pt;height:149.75pt;z-index:251659264;visibility:visible">
            <v:imagedata r:id="rId9" o:title=""/>
            <w10:wrap type="square"/>
          </v:shape>
        </w:pict>
      </w:r>
      <w:r w:rsidRPr="00760109">
        <w:rPr>
          <w:rFonts w:ascii="Arial" w:hAnsi="Arial" w:cs="Arial"/>
          <w:sz w:val="22"/>
          <w:szCs w:val="22"/>
          <w:lang w:val="da-DK"/>
        </w:rPr>
        <w:t xml:space="preserve">I tillegg til forbedret rullemotstand har noen av dimensjonene i den nye Marathon LHS II +-serien for styreaksler økte belastningsindekser, som gir kjøretøyet høyere belastningskapasitet. </w:t>
      </w:r>
    </w:p>
    <w:p w:rsidR="00E90FFE" w:rsidRPr="00760109" w:rsidRDefault="00E90FFE" w:rsidP="00117D96">
      <w:pPr>
        <w:spacing w:after="120" w:line="360" w:lineRule="auto"/>
        <w:jc w:val="both"/>
        <w:rPr>
          <w:rFonts w:ascii="Arial" w:hAnsi="Arial" w:cs="Arial"/>
          <w:sz w:val="22"/>
          <w:szCs w:val="22"/>
          <w:lang w:val="da-DK"/>
        </w:rPr>
      </w:pPr>
      <w:r w:rsidRPr="00760109">
        <w:rPr>
          <w:rFonts w:ascii="Arial" w:hAnsi="Arial" w:cs="Arial"/>
          <w:sz w:val="22"/>
          <w:szCs w:val="22"/>
          <w:lang w:val="da-DK"/>
        </w:rPr>
        <w:t>Goodyear Marathon LHS II + og LHD II + erstatter Goodyear Marathon LHS II og LHD II, som satte nye standarder for dekkegenskaper, spesielt når det gjaldt rullemotstand og dermed drivstofforbruk og utslipp.</w:t>
      </w:r>
    </w:p>
    <w:p w:rsidR="00E90FFE" w:rsidRPr="00760109" w:rsidRDefault="00E90FFE" w:rsidP="00117D96">
      <w:pPr>
        <w:spacing w:after="120" w:line="360" w:lineRule="auto"/>
        <w:jc w:val="both"/>
        <w:rPr>
          <w:rFonts w:ascii="Arial" w:hAnsi="Arial" w:cs="Arial"/>
          <w:sz w:val="22"/>
          <w:szCs w:val="22"/>
          <w:lang w:val="da-DK"/>
        </w:rPr>
      </w:pPr>
      <w:r w:rsidRPr="00760109">
        <w:rPr>
          <w:rFonts w:ascii="Arial" w:hAnsi="Arial" w:cs="Arial"/>
          <w:sz w:val="22"/>
          <w:szCs w:val="22"/>
          <w:lang w:val="da-DK"/>
        </w:rPr>
        <w:t>Å erstatte en kombinasjon av Marathon LHS II, LHD II og LHT II med LHS II +, LHD II + og LHT II kan føre til en reduksjon i drivstofforbruket  på 1 %. Det betyr at for en lastebil med tilhenger som har et drivstofforbruk på 3,2 l/mil og med en drivstoffpris på 1,20 euro per liter og en årlig kjørelengde på 120 000 km kan et slikt dekkbytte føre til en innsparing på 500 euro per kjøretøy per år og en reduksjon i CO</w:t>
      </w:r>
      <w:r w:rsidRPr="00760109">
        <w:rPr>
          <w:rFonts w:ascii="Arial" w:hAnsi="Arial" w:cs="Arial"/>
          <w:sz w:val="22"/>
          <w:szCs w:val="22"/>
          <w:vertAlign w:val="subscript"/>
          <w:lang w:val="da-DK"/>
        </w:rPr>
        <w:t>2</w:t>
      </w:r>
      <w:r w:rsidRPr="00760109">
        <w:rPr>
          <w:rFonts w:ascii="Arial" w:hAnsi="Arial" w:cs="Arial"/>
          <w:sz w:val="22"/>
          <w:szCs w:val="22"/>
          <w:lang w:val="da-DK"/>
        </w:rPr>
        <w:t>-utslippene på 1000 kg.</w:t>
      </w:r>
    </w:p>
    <w:p w:rsidR="00E90FFE" w:rsidRPr="00760109" w:rsidRDefault="00E90FFE" w:rsidP="00427D6C">
      <w:pPr>
        <w:spacing w:after="40"/>
        <w:jc w:val="both"/>
        <w:rPr>
          <w:rFonts w:ascii="Arial" w:hAnsi="Arial" w:cs="Arial"/>
          <w:b/>
          <w:sz w:val="22"/>
          <w:szCs w:val="22"/>
          <w:lang w:val="da-DK"/>
        </w:rPr>
      </w:pPr>
      <w:r w:rsidRPr="00760109">
        <w:rPr>
          <w:rFonts w:ascii="Arial" w:hAnsi="Arial" w:cs="Arial"/>
          <w:b/>
          <w:sz w:val="22"/>
          <w:szCs w:val="22"/>
          <w:lang w:val="da-DK"/>
        </w:rPr>
        <w:t>TESTER OG RESULTATER</w:t>
      </w:r>
    </w:p>
    <w:p w:rsidR="00E90FFE" w:rsidRPr="00760109" w:rsidRDefault="00E90FFE" w:rsidP="00427D6C">
      <w:pPr>
        <w:spacing w:after="40" w:line="360" w:lineRule="auto"/>
        <w:jc w:val="both"/>
        <w:rPr>
          <w:rFonts w:ascii="Arial" w:hAnsi="Arial" w:cs="Arial"/>
          <w:b/>
          <w:sz w:val="22"/>
          <w:szCs w:val="22"/>
          <w:lang w:val="da-DK"/>
        </w:rPr>
      </w:pPr>
      <w:r w:rsidRPr="00760109">
        <w:rPr>
          <w:rFonts w:ascii="Arial" w:hAnsi="Arial" w:cs="Arial"/>
          <w:sz w:val="22"/>
          <w:szCs w:val="22"/>
          <w:lang w:val="da-DK"/>
        </w:rPr>
        <w:t>TÜV Süd Automotives rapport 76246887-1</w:t>
      </w:r>
      <w:r w:rsidRPr="00760109">
        <w:rPr>
          <w:rFonts w:ascii="Arial" w:hAnsi="Arial" w:cs="Arial"/>
          <w:sz w:val="22"/>
          <w:szCs w:val="22"/>
          <w:vertAlign w:val="superscript"/>
          <w:lang w:val="da-DK"/>
        </w:rPr>
        <w:t>2</w:t>
      </w:r>
      <w:r w:rsidRPr="00760109">
        <w:rPr>
          <w:rFonts w:ascii="Arial" w:hAnsi="Arial" w:cs="Arial"/>
          <w:sz w:val="22"/>
          <w:szCs w:val="22"/>
          <w:lang w:val="da-DK"/>
        </w:rPr>
        <w:t xml:space="preserve"> er basert på styre- og drivakseldekkdimensjon 315/70R22.5 og tilhengerdekkdimensjon 385/65R22.5. Målet for testen var å sammenligne de ulike dekkenes rullemotstand. Kombinasjonen av Goodyear Marathon LHS II + styredekk, Marathon LHD II + drivdekk og Marathon LHT II tilhengerdekk ble sammenlignet med tilsvarende dekk fra tre store konkurrenter. Når det gjelder rullemotstand var LHS II + styredekk mellom 3 og 19 % bedre enn konkurrentene, Marathon LHD II + var i ett tilfelle likt med en konkurrent og i de andre tilfellene opptil 16 % bedre, mens Marathon LHT II tilhengerdekk var mellom 12 og 28 % bedre enn konkurrentene. TÜV Süd Automotives rapport 76246886-1 er basert på veigrep på vått underlag. Her ble Goodyear Marathon LHS II + styredekk og Marathon LHD II + drivdekk testet. Resultatene for grep på vått underlag viser at når det gjelder stoppstrekning var Goodyear-kombinasjonen bedre enn konkurrentene i alle tilfeller, og i ett tilfelle hele 0,9 meter kortere. Gjennomsnittlig var Goodyear-kombinasjonens bremsestrekning på våt asfalt 2 % bedre enn konkurrentenes.</w:t>
      </w:r>
    </w:p>
    <w:p w:rsidR="00E90FFE" w:rsidRPr="00760109" w:rsidRDefault="00E90FFE" w:rsidP="00427D6C">
      <w:pPr>
        <w:spacing w:after="40" w:line="360" w:lineRule="auto"/>
        <w:jc w:val="both"/>
        <w:rPr>
          <w:rFonts w:ascii="Arial" w:hAnsi="Arial" w:cs="Arial"/>
          <w:b/>
          <w:sz w:val="22"/>
          <w:szCs w:val="22"/>
          <w:lang w:val="da-DK"/>
        </w:rPr>
      </w:pPr>
    </w:p>
    <w:p w:rsidR="00E90FFE" w:rsidRPr="00760109" w:rsidRDefault="00E90FFE" w:rsidP="00427D6C">
      <w:pPr>
        <w:spacing w:after="40" w:line="360" w:lineRule="auto"/>
        <w:jc w:val="both"/>
        <w:rPr>
          <w:rFonts w:ascii="Arial" w:hAnsi="Arial" w:cs="Arial"/>
          <w:sz w:val="22"/>
          <w:szCs w:val="22"/>
          <w:lang w:val="da-DK"/>
        </w:rPr>
      </w:pPr>
      <w:r w:rsidRPr="00760109">
        <w:rPr>
          <w:rFonts w:ascii="Arial" w:hAnsi="Arial" w:cs="Arial"/>
          <w:b/>
          <w:sz w:val="22"/>
          <w:szCs w:val="22"/>
          <w:lang w:val="da-DK"/>
        </w:rPr>
        <w:t>PARTNERSKAP</w:t>
      </w:r>
    </w:p>
    <w:p w:rsidR="00E90FFE" w:rsidRPr="00760109" w:rsidRDefault="00E90FFE" w:rsidP="00464FC7">
      <w:pPr>
        <w:spacing w:after="120" w:line="360" w:lineRule="auto"/>
        <w:jc w:val="both"/>
        <w:rPr>
          <w:rFonts w:ascii="Arial" w:hAnsi="Arial" w:cs="Arial"/>
          <w:sz w:val="22"/>
          <w:szCs w:val="22"/>
          <w:lang w:val="da-DK"/>
        </w:rPr>
      </w:pPr>
      <w:r w:rsidRPr="00760109">
        <w:rPr>
          <w:rFonts w:ascii="Arial" w:hAnsi="Arial" w:cs="Arial"/>
          <w:sz w:val="22"/>
          <w:szCs w:val="22"/>
          <w:lang w:val="da-DK"/>
        </w:rPr>
        <w:t xml:space="preserve">Goodyear samarbeidet tett med Mercedes-Benz Trucks i arbeidet med å utvikle de nye </w:t>
      </w:r>
      <w:r w:rsidRPr="00760109">
        <w:rPr>
          <w:rFonts w:ascii="Arial" w:hAnsi="Arial" w:cs="Arial"/>
          <w:i/>
          <w:sz w:val="22"/>
          <w:szCs w:val="22"/>
          <w:lang w:val="da-DK"/>
        </w:rPr>
        <w:t>Marathon +</w:t>
      </w:r>
      <w:r w:rsidRPr="00760109">
        <w:rPr>
          <w:rFonts w:ascii="Arial" w:hAnsi="Arial" w:cs="Arial"/>
          <w:sz w:val="22"/>
          <w:szCs w:val="22"/>
          <w:lang w:val="da-DK"/>
        </w:rPr>
        <w:t xml:space="preserve">-dekkene. Tester på de nye dekkene, inkludert testing av mønsterslitasje og veigrep på vått underlag, er utført av Mercedes-Benz Trucks, og resultatene for de nye dekkene, som nå har fått navnene </w:t>
      </w:r>
      <w:r w:rsidRPr="00760109">
        <w:rPr>
          <w:rFonts w:ascii="Arial" w:hAnsi="Arial" w:cs="Arial"/>
          <w:i/>
          <w:sz w:val="22"/>
          <w:szCs w:val="22"/>
          <w:lang w:val="da-DK"/>
        </w:rPr>
        <w:t>Marathon LHS II</w:t>
      </w:r>
      <w:r w:rsidRPr="00760109">
        <w:rPr>
          <w:rFonts w:ascii="Arial" w:hAnsi="Arial" w:cs="Arial"/>
          <w:sz w:val="22"/>
          <w:szCs w:val="22"/>
          <w:lang w:val="da-DK"/>
        </w:rPr>
        <w:t xml:space="preserve"> </w:t>
      </w:r>
      <w:r w:rsidRPr="00760109">
        <w:rPr>
          <w:rFonts w:ascii="Arial" w:hAnsi="Arial" w:cs="Arial"/>
          <w:i/>
          <w:sz w:val="22"/>
          <w:szCs w:val="22"/>
          <w:lang w:val="da-DK"/>
        </w:rPr>
        <w:t>+</w:t>
      </w:r>
      <w:r w:rsidRPr="00760109">
        <w:rPr>
          <w:rFonts w:ascii="Arial" w:hAnsi="Arial" w:cs="Arial"/>
          <w:sz w:val="22"/>
          <w:szCs w:val="22"/>
          <w:lang w:val="da-DK"/>
        </w:rPr>
        <w:t xml:space="preserve"> og </w:t>
      </w:r>
      <w:r w:rsidRPr="00760109">
        <w:rPr>
          <w:rFonts w:ascii="Arial" w:hAnsi="Arial" w:cs="Arial"/>
          <w:i/>
          <w:sz w:val="22"/>
          <w:szCs w:val="22"/>
          <w:lang w:val="da-DK"/>
        </w:rPr>
        <w:t>Marathon LHD II +</w:t>
      </w:r>
      <w:r w:rsidRPr="00760109">
        <w:rPr>
          <w:rFonts w:ascii="Arial" w:hAnsi="Arial" w:cs="Arial"/>
          <w:sz w:val="22"/>
          <w:szCs w:val="22"/>
          <w:lang w:val="da-DK"/>
        </w:rPr>
        <w:t>, ble bekreftet. For å sikre at resultatene var korrekte og ble opprettholdt gjennom dekkenes levetid, deltok flere operatører i felttestingen. Disse ble kjørt over perioder på 18 måneder i kommersiell langtransport på modellene Mercedes-Benz Actros 1844 og 1841.</w:t>
      </w:r>
    </w:p>
    <w:p w:rsidR="00E90FFE" w:rsidRPr="00760109" w:rsidRDefault="00E90FFE" w:rsidP="00464FC7">
      <w:pPr>
        <w:spacing w:after="120" w:line="360" w:lineRule="auto"/>
        <w:jc w:val="both"/>
        <w:rPr>
          <w:rFonts w:ascii="Arial" w:hAnsi="Arial" w:cs="Arial"/>
          <w:sz w:val="22"/>
          <w:szCs w:val="22"/>
          <w:lang w:val="da-DK"/>
        </w:rPr>
      </w:pPr>
      <w:r w:rsidRPr="00760109">
        <w:rPr>
          <w:rFonts w:ascii="Arial" w:hAnsi="Arial" w:cs="Arial"/>
          <w:sz w:val="22"/>
          <w:szCs w:val="22"/>
          <w:lang w:val="da-DK"/>
        </w:rPr>
        <w:t>Goodyear presenterer nå Marathon +-serien til alle større utstyrsprodusenter for å demonstrere fordelene disse dekkene gir som originaldekk.</w:t>
      </w:r>
    </w:p>
    <w:p w:rsidR="00E90FFE" w:rsidRPr="00DD59ED" w:rsidRDefault="00E90FFE" w:rsidP="00DD5892">
      <w:pPr>
        <w:spacing w:after="120" w:line="360" w:lineRule="auto"/>
        <w:jc w:val="center"/>
        <w:rPr>
          <w:rFonts w:ascii="Arial" w:hAnsi="Arial" w:cs="Arial"/>
        </w:rPr>
      </w:pPr>
      <w:r w:rsidRPr="00C40706">
        <w:rPr>
          <w:rFonts w:ascii="Arial" w:hAnsi="Arial" w:cs="Arial"/>
          <w:noProof/>
          <w:sz w:val="22"/>
          <w:szCs w:val="22"/>
          <w:lang w:eastAsia="en-GB"/>
        </w:rPr>
        <w:pict>
          <v:shape id="Picture 2" o:spid="_x0000_i1026" type="#_x0000_t75" style="width:249pt;height:184.5pt;visibility:visible">
            <v:imagedata r:id="rId10" o:title=""/>
          </v:shape>
        </w:pict>
      </w:r>
    </w:p>
    <w:p w:rsidR="00E90FFE" w:rsidRPr="00760109" w:rsidRDefault="00E90FFE" w:rsidP="004D3CC5">
      <w:pPr>
        <w:pStyle w:val="Caption"/>
        <w:jc w:val="center"/>
        <w:rPr>
          <w:rFonts w:ascii="Arial" w:hAnsi="Arial" w:cs="Arial"/>
          <w:bCs w:val="0"/>
          <w:lang w:val="da-DK"/>
        </w:rPr>
      </w:pPr>
      <w:r w:rsidRPr="00760109">
        <w:rPr>
          <w:rFonts w:ascii="Arial" w:hAnsi="Arial" w:cs="Arial"/>
          <w:bCs w:val="0"/>
          <w:lang w:val="da-DK"/>
        </w:rPr>
        <w:t xml:space="preserve">Radardiagrammet viser hvordan fem av dekkenes hovedfunksjonsområder kom ut i en sammenligning mellom </w:t>
      </w:r>
      <w:r w:rsidRPr="00760109">
        <w:rPr>
          <w:rFonts w:ascii="Arial" w:hAnsi="Arial" w:cs="Arial"/>
          <w:bCs w:val="0"/>
          <w:i/>
          <w:lang w:val="da-DK"/>
        </w:rPr>
        <w:t>LHS II +</w:t>
      </w:r>
      <w:r w:rsidRPr="00760109">
        <w:rPr>
          <w:rFonts w:ascii="Arial" w:hAnsi="Arial" w:cs="Arial"/>
          <w:bCs w:val="0"/>
          <w:lang w:val="da-DK"/>
        </w:rPr>
        <w:t xml:space="preserve"> og </w:t>
      </w:r>
      <w:r w:rsidRPr="00760109">
        <w:rPr>
          <w:rFonts w:ascii="Arial" w:hAnsi="Arial" w:cs="Arial"/>
          <w:bCs w:val="0"/>
          <w:i/>
          <w:lang w:val="da-DK"/>
        </w:rPr>
        <w:t>LHD II +</w:t>
      </w:r>
      <w:r w:rsidRPr="00760109">
        <w:rPr>
          <w:rFonts w:ascii="Arial" w:hAnsi="Arial" w:cs="Arial"/>
          <w:bCs w:val="0"/>
          <w:lang w:val="da-DK"/>
        </w:rPr>
        <w:t xml:space="preserve"> og forgjengerne, </w:t>
      </w:r>
      <w:r w:rsidRPr="00760109">
        <w:rPr>
          <w:rFonts w:ascii="Arial" w:hAnsi="Arial" w:cs="Arial"/>
          <w:bCs w:val="0"/>
          <w:i/>
          <w:lang w:val="da-DK"/>
        </w:rPr>
        <w:t>LHS II</w:t>
      </w:r>
      <w:r w:rsidRPr="00760109">
        <w:rPr>
          <w:rFonts w:ascii="Arial" w:hAnsi="Arial" w:cs="Arial"/>
          <w:bCs w:val="0"/>
          <w:lang w:val="da-DK"/>
        </w:rPr>
        <w:t xml:space="preserve"> og </w:t>
      </w:r>
      <w:r w:rsidRPr="00760109">
        <w:rPr>
          <w:rFonts w:ascii="Arial" w:hAnsi="Arial" w:cs="Arial"/>
          <w:bCs w:val="0"/>
          <w:i/>
          <w:lang w:val="da-DK"/>
        </w:rPr>
        <w:t>LHD II</w:t>
      </w:r>
      <w:r w:rsidRPr="00760109">
        <w:rPr>
          <w:rFonts w:ascii="Arial" w:hAnsi="Arial" w:cs="Arial"/>
          <w:bCs w:val="0"/>
          <w:vertAlign w:val="superscript"/>
          <w:lang w:val="da-DK"/>
        </w:rPr>
        <w:t>1</w:t>
      </w:r>
      <w:r w:rsidRPr="00760109">
        <w:rPr>
          <w:rFonts w:ascii="Arial" w:hAnsi="Arial" w:cs="Arial"/>
          <w:bCs w:val="0"/>
          <w:lang w:val="da-DK"/>
        </w:rPr>
        <w:t>.</w:t>
      </w:r>
    </w:p>
    <w:p w:rsidR="00E90FFE" w:rsidRPr="00760109" w:rsidRDefault="00E90FFE" w:rsidP="00FF7B3A">
      <w:pPr>
        <w:pStyle w:val="NormalWeb"/>
        <w:spacing w:before="0" w:beforeAutospacing="0" w:after="0" w:afterAutospacing="0" w:line="252" w:lineRule="auto"/>
        <w:textAlignment w:val="baseline"/>
        <w:rPr>
          <w:rFonts w:ascii="Arial" w:hAnsi="Arial" w:cs="Arial"/>
          <w:lang w:val="da-DK"/>
        </w:rPr>
      </w:pPr>
    </w:p>
    <w:p w:rsidR="00E90FFE" w:rsidRPr="00DD59ED" w:rsidRDefault="00E90FFE" w:rsidP="00EF7AEA">
      <w:pPr>
        <w:pStyle w:val="NormalWeb"/>
        <w:keepNext/>
        <w:spacing w:before="0" w:beforeAutospacing="0" w:after="0" w:afterAutospacing="0" w:line="252" w:lineRule="auto"/>
        <w:textAlignment w:val="baseline"/>
        <w:rPr>
          <w:rFonts w:ascii="Arial" w:hAnsi="Arial" w:cs="Arial"/>
        </w:rPr>
      </w:pPr>
      <w:r w:rsidRPr="00C40706">
        <w:rPr>
          <w:rFonts w:ascii="Arial" w:hAnsi="Arial" w:cs="Arial"/>
          <w:noProof/>
        </w:rPr>
        <w:pict>
          <v:shape id="Picture 3" o:spid="_x0000_i1027" type="#_x0000_t75" style="width:439.5pt;height:170.25pt;visibility:visible">
            <v:imagedata r:id="rId11" o:title=""/>
          </v:shape>
        </w:pict>
      </w:r>
    </w:p>
    <w:p w:rsidR="00E90FFE" w:rsidRPr="00760109" w:rsidRDefault="00E90FFE" w:rsidP="00956590">
      <w:pPr>
        <w:pStyle w:val="Caption"/>
        <w:jc w:val="center"/>
        <w:rPr>
          <w:rFonts w:ascii="Arial" w:hAnsi="Arial" w:cs="Arial"/>
          <w:lang w:val="da-DK"/>
        </w:rPr>
      </w:pPr>
      <w:r w:rsidRPr="00760109">
        <w:rPr>
          <w:rFonts w:ascii="Arial" w:hAnsi="Arial" w:cs="Arial"/>
          <w:lang w:val="da-DK"/>
        </w:rPr>
        <w:t xml:space="preserve">Resultatet av TÜV Süds test nummer 76246887-1 og 76246886-1, en sammenligning av kombinasjonen </w:t>
      </w:r>
      <w:r w:rsidRPr="00760109">
        <w:rPr>
          <w:rFonts w:ascii="Arial" w:hAnsi="Arial" w:cs="Arial"/>
          <w:i/>
          <w:lang w:val="da-DK"/>
        </w:rPr>
        <w:t>LHS II +</w:t>
      </w:r>
      <w:r w:rsidRPr="00760109">
        <w:rPr>
          <w:rFonts w:ascii="Arial" w:hAnsi="Arial" w:cs="Arial"/>
          <w:lang w:val="da-DK"/>
        </w:rPr>
        <w:t xml:space="preserve"> styredekk, </w:t>
      </w:r>
      <w:r w:rsidRPr="00760109">
        <w:rPr>
          <w:rFonts w:ascii="Arial" w:hAnsi="Arial" w:cs="Arial"/>
          <w:i/>
          <w:lang w:val="da-DK"/>
        </w:rPr>
        <w:t>LHD II +</w:t>
      </w:r>
      <w:r w:rsidRPr="00760109">
        <w:rPr>
          <w:rFonts w:ascii="Arial" w:hAnsi="Arial" w:cs="Arial"/>
          <w:lang w:val="da-DK"/>
        </w:rPr>
        <w:t xml:space="preserve"> drivdekk og </w:t>
      </w:r>
      <w:r w:rsidRPr="00760109">
        <w:rPr>
          <w:rFonts w:ascii="Arial" w:hAnsi="Arial" w:cs="Arial"/>
          <w:i/>
          <w:lang w:val="da-DK"/>
        </w:rPr>
        <w:t>LHT II</w:t>
      </w:r>
      <w:r w:rsidRPr="00760109">
        <w:rPr>
          <w:rFonts w:ascii="Arial" w:hAnsi="Arial" w:cs="Arial"/>
          <w:lang w:val="da-DK"/>
        </w:rPr>
        <w:t xml:space="preserve"> tilhengerdekk med tilsvarende dekk fra tre hovedkonkurrenter</w:t>
      </w:r>
      <w:r w:rsidRPr="00760109">
        <w:rPr>
          <w:rFonts w:ascii="Arial" w:hAnsi="Arial" w:cs="Arial"/>
          <w:vertAlign w:val="superscript"/>
          <w:lang w:val="da-DK"/>
        </w:rPr>
        <w:t>1</w:t>
      </w:r>
      <w:r w:rsidRPr="00760109">
        <w:rPr>
          <w:rFonts w:ascii="Arial" w:hAnsi="Arial" w:cs="Arial"/>
          <w:lang w:val="da-DK"/>
        </w:rPr>
        <w:t xml:space="preserve">. </w:t>
      </w:r>
    </w:p>
    <w:p w:rsidR="00E90FFE" w:rsidRPr="00760109" w:rsidRDefault="00E90FFE" w:rsidP="00DD5892">
      <w:pPr>
        <w:spacing w:after="120" w:line="360" w:lineRule="auto"/>
        <w:jc w:val="center"/>
        <w:rPr>
          <w:rFonts w:ascii="Arial" w:hAnsi="Arial" w:cs="Arial"/>
          <w:b/>
          <w:noProof/>
          <w:sz w:val="20"/>
          <w:szCs w:val="20"/>
          <w:lang w:val="da-DK" w:eastAsia="en-GB"/>
        </w:rPr>
      </w:pPr>
    </w:p>
    <w:p w:rsidR="00E90FFE" w:rsidRPr="00760109" w:rsidRDefault="00E90FFE" w:rsidP="00DD5892">
      <w:pPr>
        <w:spacing w:after="120" w:line="360" w:lineRule="auto"/>
        <w:jc w:val="center"/>
        <w:rPr>
          <w:rFonts w:ascii="Arial" w:hAnsi="Arial" w:cs="Arial"/>
          <w:b/>
          <w:noProof/>
          <w:sz w:val="20"/>
          <w:szCs w:val="20"/>
          <w:lang w:val="da-DK" w:eastAsia="en-GB"/>
        </w:rPr>
      </w:pPr>
    </w:p>
    <w:p w:rsidR="00E90FFE" w:rsidRPr="00DD59ED" w:rsidRDefault="00E90FFE" w:rsidP="00FC0BD4">
      <w:pPr>
        <w:spacing w:after="120" w:line="360" w:lineRule="auto"/>
        <w:jc w:val="center"/>
      </w:pPr>
      <w:r>
        <w:pict>
          <v:shape id="_x0000_i1028" type="#_x0000_t75" style="width:430.5pt;height:173.25pt">
            <v:imagedata r:id="rId12" o:title="" croptop="23501f" cropbottom="15313f" cropleft="8733f" cropright="35365f"/>
          </v:shape>
        </w:pict>
      </w:r>
    </w:p>
    <w:p w:rsidR="00E90FFE" w:rsidRPr="00DD59ED" w:rsidRDefault="00E90FFE" w:rsidP="00FC0BD4">
      <w:pPr>
        <w:spacing w:after="120" w:line="360" w:lineRule="auto"/>
        <w:jc w:val="center"/>
        <w:rPr>
          <w:rFonts w:ascii="Arial" w:hAnsi="Arial" w:cs="Arial"/>
          <w:b/>
          <w:sz w:val="20"/>
          <w:szCs w:val="20"/>
          <w:lang w:val="en-US"/>
        </w:rPr>
      </w:pPr>
      <w:r w:rsidRPr="00DD59ED">
        <w:rPr>
          <w:rFonts w:ascii="Arial" w:hAnsi="Arial" w:cs="Arial"/>
          <w:b/>
          <w:sz w:val="20"/>
          <w:szCs w:val="20"/>
        </w:rPr>
        <w:t xml:space="preserve">I dimensjonsoversikten vises den økte belastningsindeksen med fet skrift. </w:t>
      </w:r>
    </w:p>
    <w:p w:rsidR="00E90FFE" w:rsidRPr="00DD59ED" w:rsidRDefault="00E90FFE" w:rsidP="00FC0BD4">
      <w:pPr>
        <w:rPr>
          <w:rFonts w:ascii="Arial" w:hAnsi="Arial" w:cs="Arial"/>
          <w:sz w:val="20"/>
          <w:szCs w:val="20"/>
          <w:lang w:val="en-US"/>
        </w:rPr>
      </w:pPr>
    </w:p>
    <w:p w:rsidR="00E90FFE" w:rsidRPr="00DD59ED" w:rsidRDefault="00E90FFE" w:rsidP="005F332F">
      <w:pPr>
        <w:pBdr>
          <w:bottom w:val="single" w:sz="6" w:space="1" w:color="auto"/>
        </w:pBdr>
        <w:rPr>
          <w:rFonts w:ascii="Arial" w:hAnsi="Arial" w:cs="Arial"/>
          <w:color w:val="000000"/>
          <w:sz w:val="22"/>
          <w:szCs w:val="22"/>
          <w:lang w:val="en-US"/>
        </w:rPr>
      </w:pPr>
    </w:p>
    <w:p w:rsidR="00E90FFE" w:rsidRPr="00DD59ED" w:rsidRDefault="00E90FFE" w:rsidP="005208ED">
      <w:pPr>
        <w:jc w:val="both"/>
        <w:rPr>
          <w:rFonts w:ascii="Arial" w:hAnsi="Arial" w:cs="Arial"/>
          <w:b/>
          <w:sz w:val="22"/>
          <w:szCs w:val="22"/>
          <w:lang w:val="en-US"/>
        </w:rPr>
      </w:pPr>
    </w:p>
    <w:p w:rsidR="00E90FFE" w:rsidRPr="00FB28A0" w:rsidRDefault="00E90FFE" w:rsidP="00760109">
      <w:pPr>
        <w:jc w:val="both"/>
        <w:outlineLvl w:val="0"/>
        <w:rPr>
          <w:rFonts w:ascii="Arial" w:hAnsi="Arial" w:cs="Arial"/>
          <w:b/>
          <w:sz w:val="22"/>
          <w:szCs w:val="22"/>
          <w:lang w:val="nb-NO"/>
        </w:rPr>
      </w:pPr>
      <w:r w:rsidRPr="00FB28A0">
        <w:rPr>
          <w:rFonts w:ascii="Arial" w:hAnsi="Arial" w:cs="Arial"/>
          <w:b/>
          <w:sz w:val="22"/>
          <w:szCs w:val="22"/>
          <w:lang w:val="nb-NO"/>
        </w:rPr>
        <w:t>Om Goodyear</w:t>
      </w:r>
    </w:p>
    <w:p w:rsidR="00E90FFE" w:rsidRPr="00FB28A0" w:rsidRDefault="00E90FFE" w:rsidP="00760109">
      <w:pPr>
        <w:spacing w:after="120"/>
        <w:jc w:val="both"/>
        <w:rPr>
          <w:rFonts w:ascii="Arial" w:hAnsi="Arial" w:cs="Arial"/>
          <w:sz w:val="18"/>
          <w:szCs w:val="18"/>
          <w:lang w:val="nb-NO"/>
        </w:rPr>
      </w:pPr>
      <w:r w:rsidRPr="00FB28A0">
        <w:rPr>
          <w:rFonts w:ascii="Arial" w:hAnsi="Arial" w:cs="Arial"/>
          <w:sz w:val="18"/>
          <w:szCs w:val="18"/>
          <w:lang w:val="nb-NO"/>
        </w:rPr>
        <w:t xml:space="preserve">Goodyear er én av verdens ledende dekkprodusenter. De har cirka 72,000 ansatte og produserer sine produkter på 55 anlegg i 22 land over hele verden. De to innovasjonssentrene i Akron i Ohio og Colmar-Berg i Luxembourg arbeider med å utvikle førsteklasses produkter og tjenester som setter standarden for bransjen både når det gjelder teknologi og resultater. </w:t>
      </w:r>
    </w:p>
    <w:p w:rsidR="00E90FFE" w:rsidRPr="00FB28A0" w:rsidRDefault="00E90FFE" w:rsidP="00760109">
      <w:pPr>
        <w:spacing w:after="120"/>
        <w:jc w:val="both"/>
        <w:rPr>
          <w:rFonts w:ascii="Arial" w:hAnsi="Arial" w:cs="Arial"/>
          <w:sz w:val="18"/>
          <w:szCs w:val="18"/>
          <w:lang w:val="nb-NO"/>
        </w:rPr>
      </w:pPr>
      <w:r w:rsidRPr="00FB28A0">
        <w:rPr>
          <w:rFonts w:ascii="Arial" w:hAnsi="Arial" w:cs="Arial"/>
          <w:sz w:val="18"/>
          <w:szCs w:val="18"/>
          <w:lang w:val="nb-NO"/>
        </w:rPr>
        <w:t>Goodyear Dunlop Europes utvalg av dekk for kommersielle kjøretøyer og busser omfatter mer enn 400 ulike dekktyper i i overkant av 55 dimensjoner. Mange av verdens ledende produsenter av kommersielle kjøretøyer monterer dekk fra Goodyear som standarddekk, inkludert DAF, Iveco, MAN, Mercedes-Benz, Renault Trucks, Scania og Volvo. Goodyear leverer også dekk til alle de største tilhengerprodusentene. Med Fleet First, som omfatter servicenettverket TruckForce, ServiceLine heldøgns veiassistanse, Mobility, FleetOnlineSolutions administrasjonssystem på Internett og Goodyear Retread Technologies, leverer Goodyear det største utvalget av tjenester i bransjen.</w:t>
      </w:r>
    </w:p>
    <w:p w:rsidR="00E90FFE" w:rsidRPr="00FB28A0" w:rsidRDefault="00E90FFE" w:rsidP="00760109">
      <w:pPr>
        <w:spacing w:after="120"/>
        <w:jc w:val="both"/>
        <w:rPr>
          <w:lang w:val="nb-NO"/>
        </w:rPr>
      </w:pPr>
      <w:r w:rsidRPr="00FB28A0">
        <w:rPr>
          <w:rFonts w:ascii="Arial" w:hAnsi="Arial" w:cs="Arial"/>
          <w:color w:val="000000"/>
          <w:sz w:val="18"/>
          <w:szCs w:val="18"/>
          <w:lang w:val="nb-NO"/>
        </w:rPr>
        <w:t>Du finner mer informasjon om Goodyear og deres produkter på www.goodyear.</w:t>
      </w:r>
      <w:r>
        <w:rPr>
          <w:rFonts w:ascii="Arial" w:hAnsi="Arial" w:cs="Arial"/>
          <w:color w:val="000000"/>
          <w:sz w:val="18"/>
          <w:szCs w:val="18"/>
          <w:lang w:val="nb-NO"/>
        </w:rPr>
        <w:t>no</w:t>
      </w:r>
    </w:p>
    <w:p w:rsidR="00E90FFE" w:rsidRPr="00DD59ED" w:rsidRDefault="00E90FFE" w:rsidP="008B5A6B">
      <w:pPr>
        <w:jc w:val="both"/>
        <w:rPr>
          <w:rFonts w:ascii="Arial" w:hAnsi="Arial" w:cs="Arial"/>
          <w:lang w:val="en-US"/>
        </w:rPr>
      </w:pPr>
    </w:p>
    <w:sectPr w:rsidR="00E90FFE" w:rsidRPr="00DD59ED" w:rsidSect="00F24D71">
      <w:footerReference w:type="even" r:id="rId13"/>
      <w:footerReference w:type="default" r:id="rId14"/>
      <w:pgSz w:w="11906" w:h="16838"/>
      <w:pgMar w:top="899" w:right="1466" w:bottom="851" w:left="16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0FFE" w:rsidRDefault="00E90FFE">
      <w:r>
        <w:separator/>
      </w:r>
    </w:p>
  </w:endnote>
  <w:endnote w:type="continuationSeparator" w:id="0">
    <w:p w:rsidR="00E90FFE" w:rsidRDefault="00E90F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 45 Light">
    <w:altName w:val="Times New Roman"/>
    <w:panose1 w:val="00000000000000000000"/>
    <w:charset w:val="00"/>
    <w:family w:val="roman"/>
    <w:notTrueType/>
    <w:pitch w:val="default"/>
    <w:sig w:usb0="00000003" w:usb1="00000000" w:usb2="00000000" w:usb3="00000000" w:csb0="00000001" w:csb1="00000000"/>
  </w:font>
  <w:font w:name="MS PGothic">
    <w:panose1 w:val="00000000000000000000"/>
    <w:charset w:val="80"/>
    <w:family w:val="swiss"/>
    <w:notTrueType/>
    <w:pitch w:val="variable"/>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FFE" w:rsidRDefault="00E90FFE" w:rsidP="001D6E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90FFE" w:rsidRDefault="00E90FFE" w:rsidP="007C102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FFE" w:rsidRPr="007C1023" w:rsidRDefault="00E90FFE" w:rsidP="001D6E7F">
    <w:pPr>
      <w:pStyle w:val="Footer"/>
      <w:framePr w:wrap="around" w:vAnchor="text" w:hAnchor="margin" w:xAlign="right" w:y="1"/>
      <w:rPr>
        <w:rStyle w:val="PageNumber"/>
        <w:rFonts w:ascii="Arial" w:hAnsi="Arial" w:cs="Arial"/>
        <w:sz w:val="20"/>
        <w:szCs w:val="20"/>
      </w:rPr>
    </w:pPr>
    <w:r>
      <w:rPr>
        <w:rStyle w:val="PageNumber"/>
        <w:rFonts w:ascii="Arial" w:hAnsi="Arial" w:cs="Arial"/>
        <w:sz w:val="20"/>
        <w:szCs w:val="20"/>
      </w:rPr>
      <w:fldChar w:fldCharType="begin"/>
    </w:r>
    <w:r>
      <w:rPr>
        <w:rStyle w:val="PageNumber"/>
        <w:rFonts w:ascii="Arial" w:hAnsi="Arial" w:cs="Arial"/>
        <w:sz w:val="20"/>
        <w:szCs w:val="20"/>
      </w:rPr>
      <w:instrText xml:space="preserve">PAGE  </w:instrText>
    </w:r>
    <w:r>
      <w:rPr>
        <w:rStyle w:val="PageNumber"/>
        <w:rFonts w:ascii="Arial" w:hAnsi="Arial" w:cs="Arial"/>
        <w:sz w:val="20"/>
        <w:szCs w:val="20"/>
      </w:rPr>
      <w:fldChar w:fldCharType="separate"/>
    </w:r>
    <w:r>
      <w:rPr>
        <w:rStyle w:val="PageNumber"/>
        <w:rFonts w:ascii="Arial" w:hAnsi="Arial" w:cs="Arial"/>
        <w:noProof/>
        <w:sz w:val="20"/>
        <w:szCs w:val="20"/>
      </w:rPr>
      <w:t>1</w:t>
    </w:r>
    <w:r>
      <w:rPr>
        <w:rStyle w:val="PageNumber"/>
        <w:rFonts w:ascii="Arial" w:hAnsi="Arial" w:cs="Arial"/>
        <w:sz w:val="20"/>
        <w:szCs w:val="20"/>
      </w:rPr>
      <w:fldChar w:fldCharType="end"/>
    </w:r>
  </w:p>
  <w:p w:rsidR="00E90FFE" w:rsidRDefault="00E90FFE" w:rsidP="007C102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0FFE" w:rsidRDefault="00E90FFE">
      <w:r>
        <w:separator/>
      </w:r>
    </w:p>
  </w:footnote>
  <w:footnote w:type="continuationSeparator" w:id="0">
    <w:p w:rsidR="00E90FFE" w:rsidRDefault="00E90FFE">
      <w:r>
        <w:continuationSeparator/>
      </w:r>
    </w:p>
  </w:footnote>
  <w:footnote w:id="1">
    <w:p w:rsidR="00E90FFE" w:rsidRPr="00760109" w:rsidRDefault="00E90FFE">
      <w:pPr>
        <w:pStyle w:val="FootnoteText"/>
        <w:rPr>
          <w:rFonts w:ascii="Arial" w:eastAsia="MS PGothic" w:hAnsi="Arial" w:cs="Arial"/>
          <w:sz w:val="16"/>
          <w:szCs w:val="16"/>
          <w:lang w:val="sv-SE" w:eastAsia="en-GB"/>
        </w:rPr>
      </w:pPr>
      <w:r w:rsidRPr="007C1023">
        <w:rPr>
          <w:rStyle w:val="FootnoteReference"/>
          <w:rFonts w:ascii="Arial" w:hAnsi="Arial" w:cs="Arial"/>
          <w:sz w:val="16"/>
          <w:szCs w:val="16"/>
        </w:rPr>
        <w:footnoteRef/>
      </w:r>
      <w:r w:rsidRPr="00760109">
        <w:rPr>
          <w:rFonts w:ascii="Arial" w:hAnsi="Arial" w:cs="Arial"/>
          <w:sz w:val="16"/>
          <w:szCs w:val="16"/>
          <w:lang w:val="sv-SE"/>
        </w:rPr>
        <w:t xml:space="preserve"> Data beregnet av Goodyear Innovation Center Luxembourg 2011.</w:t>
      </w:r>
    </w:p>
    <w:p w:rsidR="00E90FFE" w:rsidRDefault="00E90FFE">
      <w:pPr>
        <w:pStyle w:val="FootnoteText"/>
      </w:pPr>
    </w:p>
  </w:footnote>
  <w:footnote w:id="2">
    <w:p w:rsidR="00E90FFE" w:rsidRPr="00760109" w:rsidRDefault="00E90FFE" w:rsidP="00DC5179">
      <w:pPr>
        <w:pStyle w:val="NormalWeb"/>
        <w:spacing w:before="120" w:beforeAutospacing="0" w:after="0" w:afterAutospacing="0"/>
        <w:jc w:val="both"/>
        <w:textAlignment w:val="baseline"/>
        <w:rPr>
          <w:rFonts w:ascii="Arial" w:eastAsia="MS PGothic" w:hAnsi="Arial" w:cs="Arial"/>
          <w:sz w:val="16"/>
          <w:szCs w:val="16"/>
          <w:lang w:val="da-DK"/>
        </w:rPr>
      </w:pPr>
      <w:r w:rsidRPr="007C1023">
        <w:rPr>
          <w:rStyle w:val="FootnoteReference"/>
          <w:rFonts w:ascii="Arial" w:hAnsi="Arial" w:cs="Arial"/>
          <w:sz w:val="16"/>
          <w:szCs w:val="16"/>
        </w:rPr>
        <w:footnoteRef/>
      </w:r>
      <w:r w:rsidRPr="00760109">
        <w:rPr>
          <w:rFonts w:ascii="Arial" w:hAnsi="Arial" w:cs="Arial"/>
          <w:sz w:val="16"/>
          <w:szCs w:val="16"/>
          <w:lang w:val="da-DK"/>
        </w:rPr>
        <w:t xml:space="preserve"> Dataene ble målt av TÜV Süd i august 2011 (test nummer 76246887-1) og september 2011 (76246886-1). De testede dekkene – Goodyear Marathon LHS II + / LHD II / LHT II – ble sammenlignet med henholdsvis styre-, driv- og tilhengerakseldekk fra de tre hovedkonkurrentene. Dekkdimensjoner 315/70R22.5 (styre- og drivaksel) og 385/65R22.5 (tilhenger).</w:t>
      </w:r>
    </w:p>
    <w:p w:rsidR="00E90FFE" w:rsidRPr="00760109" w:rsidRDefault="00E90FFE" w:rsidP="00DC5179">
      <w:pPr>
        <w:pStyle w:val="NormalWeb"/>
        <w:spacing w:before="120" w:beforeAutospacing="0" w:after="0" w:afterAutospacing="0"/>
        <w:jc w:val="both"/>
        <w:textAlignment w:val="baseline"/>
        <w:rPr>
          <w:rFonts w:ascii="Arial" w:eastAsia="MS PGothic" w:hAnsi="Arial" w:cs="Arial"/>
          <w:sz w:val="16"/>
          <w:szCs w:val="16"/>
          <w:lang w:val="da-DK"/>
        </w:rPr>
      </w:pPr>
      <w:r w:rsidRPr="00760109">
        <w:rPr>
          <w:rFonts w:ascii="Arial" w:hAnsi="Arial" w:cs="Arial"/>
          <w:sz w:val="16"/>
          <w:szCs w:val="16"/>
          <w:lang w:val="da-DK"/>
        </w:rPr>
        <w:t>Beregningen av rullemotstandsratioen er basert på en belastningsfordeling på 17 % for styreaksel, 25 % for drivaksel og 58 % for tilhengeraksel. Våtgrepsindeksen ble målt med styredekk på fremre aksel og drivdekk på drivakselen med en belastning på 6600 kg på styreakselen og 11200 kg på drivakselen.</w:t>
      </w:r>
    </w:p>
    <w:p w:rsidR="00E90FFE" w:rsidRDefault="00E90FFE" w:rsidP="00DC5179">
      <w:pPr>
        <w:pStyle w:val="NormalWeb"/>
        <w:spacing w:before="120" w:beforeAutospacing="0" w:after="0" w:afterAutospacing="0"/>
        <w:jc w:val="both"/>
        <w:textAlignment w:val="baseline"/>
      </w:pPr>
    </w:p>
  </w:footnote>
  <w:footnote w:id="3">
    <w:p w:rsidR="00E90FFE" w:rsidRDefault="00E90FFE" w:rsidP="006307B5">
      <w:pPr>
        <w:pStyle w:val="FootnoteText"/>
      </w:pPr>
      <w:r w:rsidRPr="007C1023">
        <w:rPr>
          <w:rStyle w:val="FootnoteReference"/>
          <w:rFonts w:ascii="Arial" w:hAnsi="Arial" w:cs="Arial"/>
          <w:sz w:val="16"/>
          <w:szCs w:val="16"/>
        </w:rPr>
        <w:footnoteRef/>
      </w:r>
      <w:r w:rsidRPr="00760109">
        <w:rPr>
          <w:rFonts w:ascii="Arial" w:hAnsi="Arial" w:cs="Arial"/>
          <w:sz w:val="16"/>
          <w:szCs w:val="16"/>
          <w:lang w:val="da-DK"/>
        </w:rPr>
        <w:t xml:space="preserve"> Tallene, som er publisert i magasinet Transport Engineer for januar 2011, gjelder en 40-tonns lastebil med tilhenger med fem aksler.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0B7903"/>
    <w:multiLevelType w:val="hybridMultilevel"/>
    <w:tmpl w:val="85A47920"/>
    <w:lvl w:ilvl="0" w:tplc="21E8375E">
      <w:start w:val="1"/>
      <w:numFmt w:val="bullet"/>
      <w:lvlText w:val="•"/>
      <w:lvlJc w:val="left"/>
      <w:pPr>
        <w:tabs>
          <w:tab w:val="num" w:pos="720"/>
        </w:tabs>
        <w:ind w:left="720" w:hanging="360"/>
      </w:pPr>
      <w:rPr>
        <w:rFonts w:ascii="Times New Roman" w:hAnsi="Times New Roman" w:hint="default"/>
      </w:rPr>
    </w:lvl>
    <w:lvl w:ilvl="1" w:tplc="91D66A78" w:tentative="1">
      <w:start w:val="1"/>
      <w:numFmt w:val="bullet"/>
      <w:lvlText w:val="•"/>
      <w:lvlJc w:val="left"/>
      <w:pPr>
        <w:tabs>
          <w:tab w:val="num" w:pos="1440"/>
        </w:tabs>
        <w:ind w:left="1440" w:hanging="360"/>
      </w:pPr>
      <w:rPr>
        <w:rFonts w:ascii="Times New Roman" w:hAnsi="Times New Roman" w:hint="default"/>
      </w:rPr>
    </w:lvl>
    <w:lvl w:ilvl="2" w:tplc="0186D02C" w:tentative="1">
      <w:start w:val="1"/>
      <w:numFmt w:val="bullet"/>
      <w:lvlText w:val="•"/>
      <w:lvlJc w:val="left"/>
      <w:pPr>
        <w:tabs>
          <w:tab w:val="num" w:pos="2160"/>
        </w:tabs>
        <w:ind w:left="2160" w:hanging="360"/>
      </w:pPr>
      <w:rPr>
        <w:rFonts w:ascii="Times New Roman" w:hAnsi="Times New Roman" w:hint="default"/>
      </w:rPr>
    </w:lvl>
    <w:lvl w:ilvl="3" w:tplc="BB344616" w:tentative="1">
      <w:start w:val="1"/>
      <w:numFmt w:val="bullet"/>
      <w:lvlText w:val="•"/>
      <w:lvlJc w:val="left"/>
      <w:pPr>
        <w:tabs>
          <w:tab w:val="num" w:pos="2880"/>
        </w:tabs>
        <w:ind w:left="2880" w:hanging="360"/>
      </w:pPr>
      <w:rPr>
        <w:rFonts w:ascii="Times New Roman" w:hAnsi="Times New Roman" w:hint="default"/>
      </w:rPr>
    </w:lvl>
    <w:lvl w:ilvl="4" w:tplc="4CBE7FB2" w:tentative="1">
      <w:start w:val="1"/>
      <w:numFmt w:val="bullet"/>
      <w:lvlText w:val="•"/>
      <w:lvlJc w:val="left"/>
      <w:pPr>
        <w:tabs>
          <w:tab w:val="num" w:pos="3600"/>
        </w:tabs>
        <w:ind w:left="3600" w:hanging="360"/>
      </w:pPr>
      <w:rPr>
        <w:rFonts w:ascii="Times New Roman" w:hAnsi="Times New Roman" w:hint="default"/>
      </w:rPr>
    </w:lvl>
    <w:lvl w:ilvl="5" w:tplc="33EE9F52" w:tentative="1">
      <w:start w:val="1"/>
      <w:numFmt w:val="bullet"/>
      <w:lvlText w:val="•"/>
      <w:lvlJc w:val="left"/>
      <w:pPr>
        <w:tabs>
          <w:tab w:val="num" w:pos="4320"/>
        </w:tabs>
        <w:ind w:left="4320" w:hanging="360"/>
      </w:pPr>
      <w:rPr>
        <w:rFonts w:ascii="Times New Roman" w:hAnsi="Times New Roman" w:hint="default"/>
      </w:rPr>
    </w:lvl>
    <w:lvl w:ilvl="6" w:tplc="8BF0DF60" w:tentative="1">
      <w:start w:val="1"/>
      <w:numFmt w:val="bullet"/>
      <w:lvlText w:val="•"/>
      <w:lvlJc w:val="left"/>
      <w:pPr>
        <w:tabs>
          <w:tab w:val="num" w:pos="5040"/>
        </w:tabs>
        <w:ind w:left="5040" w:hanging="360"/>
      </w:pPr>
      <w:rPr>
        <w:rFonts w:ascii="Times New Roman" w:hAnsi="Times New Roman" w:hint="default"/>
      </w:rPr>
    </w:lvl>
    <w:lvl w:ilvl="7" w:tplc="1B20EB20" w:tentative="1">
      <w:start w:val="1"/>
      <w:numFmt w:val="bullet"/>
      <w:lvlText w:val="•"/>
      <w:lvlJc w:val="left"/>
      <w:pPr>
        <w:tabs>
          <w:tab w:val="num" w:pos="5760"/>
        </w:tabs>
        <w:ind w:left="5760" w:hanging="360"/>
      </w:pPr>
      <w:rPr>
        <w:rFonts w:ascii="Times New Roman" w:hAnsi="Times New Roman" w:hint="default"/>
      </w:rPr>
    </w:lvl>
    <w:lvl w:ilvl="8" w:tplc="CF9C3B54" w:tentative="1">
      <w:start w:val="1"/>
      <w:numFmt w:val="bullet"/>
      <w:lvlText w:val="•"/>
      <w:lvlJc w:val="left"/>
      <w:pPr>
        <w:tabs>
          <w:tab w:val="num" w:pos="6480"/>
        </w:tabs>
        <w:ind w:left="6480" w:hanging="360"/>
      </w:pPr>
      <w:rPr>
        <w:rFonts w:ascii="Times New Roman" w:hAnsi="Times New Roman" w:hint="default"/>
      </w:rPr>
    </w:lvl>
  </w:abstractNum>
  <w:abstractNum w:abstractNumId="1">
    <w:nsid w:val="1F000A6C"/>
    <w:multiLevelType w:val="hybridMultilevel"/>
    <w:tmpl w:val="EEE42F88"/>
    <w:lvl w:ilvl="0" w:tplc="B9EE6C18">
      <w:start w:val="1"/>
      <w:numFmt w:val="bullet"/>
      <w:lvlText w:val="•"/>
      <w:lvlJc w:val="left"/>
      <w:pPr>
        <w:tabs>
          <w:tab w:val="num" w:pos="720"/>
        </w:tabs>
        <w:ind w:left="720" w:hanging="360"/>
      </w:pPr>
      <w:rPr>
        <w:rFonts w:ascii="Times New Roman" w:hAnsi="Times New Roman" w:hint="default"/>
      </w:rPr>
    </w:lvl>
    <w:lvl w:ilvl="1" w:tplc="5B7C1774" w:tentative="1">
      <w:start w:val="1"/>
      <w:numFmt w:val="bullet"/>
      <w:lvlText w:val="•"/>
      <w:lvlJc w:val="left"/>
      <w:pPr>
        <w:tabs>
          <w:tab w:val="num" w:pos="1440"/>
        </w:tabs>
        <w:ind w:left="1440" w:hanging="360"/>
      </w:pPr>
      <w:rPr>
        <w:rFonts w:ascii="Times New Roman" w:hAnsi="Times New Roman" w:hint="default"/>
      </w:rPr>
    </w:lvl>
    <w:lvl w:ilvl="2" w:tplc="1FE61E88" w:tentative="1">
      <w:start w:val="1"/>
      <w:numFmt w:val="bullet"/>
      <w:lvlText w:val="•"/>
      <w:lvlJc w:val="left"/>
      <w:pPr>
        <w:tabs>
          <w:tab w:val="num" w:pos="2160"/>
        </w:tabs>
        <w:ind w:left="2160" w:hanging="360"/>
      </w:pPr>
      <w:rPr>
        <w:rFonts w:ascii="Times New Roman" w:hAnsi="Times New Roman" w:hint="default"/>
      </w:rPr>
    </w:lvl>
    <w:lvl w:ilvl="3" w:tplc="BA3C055C" w:tentative="1">
      <w:start w:val="1"/>
      <w:numFmt w:val="bullet"/>
      <w:lvlText w:val="•"/>
      <w:lvlJc w:val="left"/>
      <w:pPr>
        <w:tabs>
          <w:tab w:val="num" w:pos="2880"/>
        </w:tabs>
        <w:ind w:left="2880" w:hanging="360"/>
      </w:pPr>
      <w:rPr>
        <w:rFonts w:ascii="Times New Roman" w:hAnsi="Times New Roman" w:hint="default"/>
      </w:rPr>
    </w:lvl>
    <w:lvl w:ilvl="4" w:tplc="0BE0E49A" w:tentative="1">
      <w:start w:val="1"/>
      <w:numFmt w:val="bullet"/>
      <w:lvlText w:val="•"/>
      <w:lvlJc w:val="left"/>
      <w:pPr>
        <w:tabs>
          <w:tab w:val="num" w:pos="3600"/>
        </w:tabs>
        <w:ind w:left="3600" w:hanging="360"/>
      </w:pPr>
      <w:rPr>
        <w:rFonts w:ascii="Times New Roman" w:hAnsi="Times New Roman" w:hint="default"/>
      </w:rPr>
    </w:lvl>
    <w:lvl w:ilvl="5" w:tplc="6E808716" w:tentative="1">
      <w:start w:val="1"/>
      <w:numFmt w:val="bullet"/>
      <w:lvlText w:val="•"/>
      <w:lvlJc w:val="left"/>
      <w:pPr>
        <w:tabs>
          <w:tab w:val="num" w:pos="4320"/>
        </w:tabs>
        <w:ind w:left="4320" w:hanging="360"/>
      </w:pPr>
      <w:rPr>
        <w:rFonts w:ascii="Times New Roman" w:hAnsi="Times New Roman" w:hint="default"/>
      </w:rPr>
    </w:lvl>
    <w:lvl w:ilvl="6" w:tplc="CCA461A6" w:tentative="1">
      <w:start w:val="1"/>
      <w:numFmt w:val="bullet"/>
      <w:lvlText w:val="•"/>
      <w:lvlJc w:val="left"/>
      <w:pPr>
        <w:tabs>
          <w:tab w:val="num" w:pos="5040"/>
        </w:tabs>
        <w:ind w:left="5040" w:hanging="360"/>
      </w:pPr>
      <w:rPr>
        <w:rFonts w:ascii="Times New Roman" w:hAnsi="Times New Roman" w:hint="default"/>
      </w:rPr>
    </w:lvl>
    <w:lvl w:ilvl="7" w:tplc="762CE4A0" w:tentative="1">
      <w:start w:val="1"/>
      <w:numFmt w:val="bullet"/>
      <w:lvlText w:val="•"/>
      <w:lvlJc w:val="left"/>
      <w:pPr>
        <w:tabs>
          <w:tab w:val="num" w:pos="5760"/>
        </w:tabs>
        <w:ind w:left="5760" w:hanging="360"/>
      </w:pPr>
      <w:rPr>
        <w:rFonts w:ascii="Times New Roman" w:hAnsi="Times New Roman" w:hint="default"/>
      </w:rPr>
    </w:lvl>
    <w:lvl w:ilvl="8" w:tplc="66F090C2" w:tentative="1">
      <w:start w:val="1"/>
      <w:numFmt w:val="bullet"/>
      <w:lvlText w:val="•"/>
      <w:lvlJc w:val="left"/>
      <w:pPr>
        <w:tabs>
          <w:tab w:val="num" w:pos="6480"/>
        </w:tabs>
        <w:ind w:left="6480" w:hanging="360"/>
      </w:pPr>
      <w:rPr>
        <w:rFonts w:ascii="Times New Roman" w:hAnsi="Times New Roman" w:hint="default"/>
      </w:rPr>
    </w:lvl>
  </w:abstractNum>
  <w:abstractNum w:abstractNumId="2">
    <w:nsid w:val="29171D1E"/>
    <w:multiLevelType w:val="hybridMultilevel"/>
    <w:tmpl w:val="5E4AC21A"/>
    <w:lvl w:ilvl="0" w:tplc="DAA22DD8">
      <w:start w:val="1"/>
      <w:numFmt w:val="bullet"/>
      <w:lvlText w:val="•"/>
      <w:lvlJc w:val="left"/>
      <w:pPr>
        <w:tabs>
          <w:tab w:val="num" w:pos="720"/>
        </w:tabs>
        <w:ind w:left="720" w:hanging="360"/>
      </w:pPr>
      <w:rPr>
        <w:rFonts w:ascii="Times New Roman" w:hAnsi="Times New Roman" w:hint="default"/>
      </w:rPr>
    </w:lvl>
    <w:lvl w:ilvl="1" w:tplc="4650C796" w:tentative="1">
      <w:start w:val="1"/>
      <w:numFmt w:val="bullet"/>
      <w:lvlText w:val="•"/>
      <w:lvlJc w:val="left"/>
      <w:pPr>
        <w:tabs>
          <w:tab w:val="num" w:pos="1440"/>
        </w:tabs>
        <w:ind w:left="1440" w:hanging="360"/>
      </w:pPr>
      <w:rPr>
        <w:rFonts w:ascii="Times New Roman" w:hAnsi="Times New Roman" w:hint="default"/>
      </w:rPr>
    </w:lvl>
    <w:lvl w:ilvl="2" w:tplc="552CEABE" w:tentative="1">
      <w:start w:val="1"/>
      <w:numFmt w:val="bullet"/>
      <w:lvlText w:val="•"/>
      <w:lvlJc w:val="left"/>
      <w:pPr>
        <w:tabs>
          <w:tab w:val="num" w:pos="2160"/>
        </w:tabs>
        <w:ind w:left="2160" w:hanging="360"/>
      </w:pPr>
      <w:rPr>
        <w:rFonts w:ascii="Times New Roman" w:hAnsi="Times New Roman" w:hint="default"/>
      </w:rPr>
    </w:lvl>
    <w:lvl w:ilvl="3" w:tplc="3808D466" w:tentative="1">
      <w:start w:val="1"/>
      <w:numFmt w:val="bullet"/>
      <w:lvlText w:val="•"/>
      <w:lvlJc w:val="left"/>
      <w:pPr>
        <w:tabs>
          <w:tab w:val="num" w:pos="2880"/>
        </w:tabs>
        <w:ind w:left="2880" w:hanging="360"/>
      </w:pPr>
      <w:rPr>
        <w:rFonts w:ascii="Times New Roman" w:hAnsi="Times New Roman" w:hint="default"/>
      </w:rPr>
    </w:lvl>
    <w:lvl w:ilvl="4" w:tplc="DE6C8918" w:tentative="1">
      <w:start w:val="1"/>
      <w:numFmt w:val="bullet"/>
      <w:lvlText w:val="•"/>
      <w:lvlJc w:val="left"/>
      <w:pPr>
        <w:tabs>
          <w:tab w:val="num" w:pos="3600"/>
        </w:tabs>
        <w:ind w:left="3600" w:hanging="360"/>
      </w:pPr>
      <w:rPr>
        <w:rFonts w:ascii="Times New Roman" w:hAnsi="Times New Roman" w:hint="default"/>
      </w:rPr>
    </w:lvl>
    <w:lvl w:ilvl="5" w:tplc="F9F60C54" w:tentative="1">
      <w:start w:val="1"/>
      <w:numFmt w:val="bullet"/>
      <w:lvlText w:val="•"/>
      <w:lvlJc w:val="left"/>
      <w:pPr>
        <w:tabs>
          <w:tab w:val="num" w:pos="4320"/>
        </w:tabs>
        <w:ind w:left="4320" w:hanging="360"/>
      </w:pPr>
      <w:rPr>
        <w:rFonts w:ascii="Times New Roman" w:hAnsi="Times New Roman" w:hint="default"/>
      </w:rPr>
    </w:lvl>
    <w:lvl w:ilvl="6" w:tplc="3A8EC818" w:tentative="1">
      <w:start w:val="1"/>
      <w:numFmt w:val="bullet"/>
      <w:lvlText w:val="•"/>
      <w:lvlJc w:val="left"/>
      <w:pPr>
        <w:tabs>
          <w:tab w:val="num" w:pos="5040"/>
        </w:tabs>
        <w:ind w:left="5040" w:hanging="360"/>
      </w:pPr>
      <w:rPr>
        <w:rFonts w:ascii="Times New Roman" w:hAnsi="Times New Roman" w:hint="default"/>
      </w:rPr>
    </w:lvl>
    <w:lvl w:ilvl="7" w:tplc="E6B8A64C" w:tentative="1">
      <w:start w:val="1"/>
      <w:numFmt w:val="bullet"/>
      <w:lvlText w:val="•"/>
      <w:lvlJc w:val="left"/>
      <w:pPr>
        <w:tabs>
          <w:tab w:val="num" w:pos="5760"/>
        </w:tabs>
        <w:ind w:left="5760" w:hanging="360"/>
      </w:pPr>
      <w:rPr>
        <w:rFonts w:ascii="Times New Roman" w:hAnsi="Times New Roman" w:hint="default"/>
      </w:rPr>
    </w:lvl>
    <w:lvl w:ilvl="8" w:tplc="3FB0CB74" w:tentative="1">
      <w:start w:val="1"/>
      <w:numFmt w:val="bullet"/>
      <w:lvlText w:val="•"/>
      <w:lvlJc w:val="left"/>
      <w:pPr>
        <w:tabs>
          <w:tab w:val="num" w:pos="6480"/>
        </w:tabs>
        <w:ind w:left="6480" w:hanging="360"/>
      </w:pPr>
      <w:rPr>
        <w:rFonts w:ascii="Times New Roman" w:hAnsi="Times New Roman" w:hint="default"/>
      </w:rPr>
    </w:lvl>
  </w:abstractNum>
  <w:abstractNum w:abstractNumId="3">
    <w:nsid w:val="31787ECB"/>
    <w:multiLevelType w:val="hybridMultilevel"/>
    <w:tmpl w:val="0838A57C"/>
    <w:lvl w:ilvl="0" w:tplc="2436961A">
      <w:start w:val="1"/>
      <w:numFmt w:val="bullet"/>
      <w:lvlText w:val="•"/>
      <w:lvlJc w:val="left"/>
      <w:pPr>
        <w:tabs>
          <w:tab w:val="num" w:pos="720"/>
        </w:tabs>
        <w:ind w:left="720" w:hanging="360"/>
      </w:pPr>
      <w:rPr>
        <w:rFonts w:ascii="Times New Roman" w:hAnsi="Times New Roman" w:hint="default"/>
      </w:rPr>
    </w:lvl>
    <w:lvl w:ilvl="1" w:tplc="FD684056" w:tentative="1">
      <w:start w:val="1"/>
      <w:numFmt w:val="bullet"/>
      <w:lvlText w:val="•"/>
      <w:lvlJc w:val="left"/>
      <w:pPr>
        <w:tabs>
          <w:tab w:val="num" w:pos="1440"/>
        </w:tabs>
        <w:ind w:left="1440" w:hanging="360"/>
      </w:pPr>
      <w:rPr>
        <w:rFonts w:ascii="Times New Roman" w:hAnsi="Times New Roman" w:hint="default"/>
      </w:rPr>
    </w:lvl>
    <w:lvl w:ilvl="2" w:tplc="8D662588" w:tentative="1">
      <w:start w:val="1"/>
      <w:numFmt w:val="bullet"/>
      <w:lvlText w:val="•"/>
      <w:lvlJc w:val="left"/>
      <w:pPr>
        <w:tabs>
          <w:tab w:val="num" w:pos="2160"/>
        </w:tabs>
        <w:ind w:left="2160" w:hanging="360"/>
      </w:pPr>
      <w:rPr>
        <w:rFonts w:ascii="Times New Roman" w:hAnsi="Times New Roman" w:hint="default"/>
      </w:rPr>
    </w:lvl>
    <w:lvl w:ilvl="3" w:tplc="2306E326" w:tentative="1">
      <w:start w:val="1"/>
      <w:numFmt w:val="bullet"/>
      <w:lvlText w:val="•"/>
      <w:lvlJc w:val="left"/>
      <w:pPr>
        <w:tabs>
          <w:tab w:val="num" w:pos="2880"/>
        </w:tabs>
        <w:ind w:left="2880" w:hanging="360"/>
      </w:pPr>
      <w:rPr>
        <w:rFonts w:ascii="Times New Roman" w:hAnsi="Times New Roman" w:hint="default"/>
      </w:rPr>
    </w:lvl>
    <w:lvl w:ilvl="4" w:tplc="D044655E" w:tentative="1">
      <w:start w:val="1"/>
      <w:numFmt w:val="bullet"/>
      <w:lvlText w:val="•"/>
      <w:lvlJc w:val="left"/>
      <w:pPr>
        <w:tabs>
          <w:tab w:val="num" w:pos="3600"/>
        </w:tabs>
        <w:ind w:left="3600" w:hanging="360"/>
      </w:pPr>
      <w:rPr>
        <w:rFonts w:ascii="Times New Roman" w:hAnsi="Times New Roman" w:hint="default"/>
      </w:rPr>
    </w:lvl>
    <w:lvl w:ilvl="5" w:tplc="44E4722C" w:tentative="1">
      <w:start w:val="1"/>
      <w:numFmt w:val="bullet"/>
      <w:lvlText w:val="•"/>
      <w:lvlJc w:val="left"/>
      <w:pPr>
        <w:tabs>
          <w:tab w:val="num" w:pos="4320"/>
        </w:tabs>
        <w:ind w:left="4320" w:hanging="360"/>
      </w:pPr>
      <w:rPr>
        <w:rFonts w:ascii="Times New Roman" w:hAnsi="Times New Roman" w:hint="default"/>
      </w:rPr>
    </w:lvl>
    <w:lvl w:ilvl="6" w:tplc="98FEC59E" w:tentative="1">
      <w:start w:val="1"/>
      <w:numFmt w:val="bullet"/>
      <w:lvlText w:val="•"/>
      <w:lvlJc w:val="left"/>
      <w:pPr>
        <w:tabs>
          <w:tab w:val="num" w:pos="5040"/>
        </w:tabs>
        <w:ind w:left="5040" w:hanging="360"/>
      </w:pPr>
      <w:rPr>
        <w:rFonts w:ascii="Times New Roman" w:hAnsi="Times New Roman" w:hint="default"/>
      </w:rPr>
    </w:lvl>
    <w:lvl w:ilvl="7" w:tplc="F2402542" w:tentative="1">
      <w:start w:val="1"/>
      <w:numFmt w:val="bullet"/>
      <w:lvlText w:val="•"/>
      <w:lvlJc w:val="left"/>
      <w:pPr>
        <w:tabs>
          <w:tab w:val="num" w:pos="5760"/>
        </w:tabs>
        <w:ind w:left="5760" w:hanging="360"/>
      </w:pPr>
      <w:rPr>
        <w:rFonts w:ascii="Times New Roman" w:hAnsi="Times New Roman" w:hint="default"/>
      </w:rPr>
    </w:lvl>
    <w:lvl w:ilvl="8" w:tplc="E2E61AEC" w:tentative="1">
      <w:start w:val="1"/>
      <w:numFmt w:val="bullet"/>
      <w:lvlText w:val="•"/>
      <w:lvlJc w:val="left"/>
      <w:pPr>
        <w:tabs>
          <w:tab w:val="num" w:pos="6480"/>
        </w:tabs>
        <w:ind w:left="6480" w:hanging="360"/>
      </w:pPr>
      <w:rPr>
        <w:rFonts w:ascii="Times New Roman" w:hAnsi="Times New Roman" w:hint="default"/>
      </w:rPr>
    </w:lvl>
  </w:abstractNum>
  <w:abstractNum w:abstractNumId="4">
    <w:nsid w:val="3A42268A"/>
    <w:multiLevelType w:val="hybridMultilevel"/>
    <w:tmpl w:val="806E7BC0"/>
    <w:lvl w:ilvl="0" w:tplc="F5AC6486">
      <w:start w:val="1"/>
      <w:numFmt w:val="bullet"/>
      <w:lvlText w:val="•"/>
      <w:lvlJc w:val="left"/>
      <w:pPr>
        <w:tabs>
          <w:tab w:val="num" w:pos="720"/>
        </w:tabs>
        <w:ind w:left="720" w:hanging="360"/>
      </w:pPr>
      <w:rPr>
        <w:rFonts w:ascii="Times New Roman" w:hAnsi="Times New Roman" w:hint="default"/>
      </w:rPr>
    </w:lvl>
    <w:lvl w:ilvl="1" w:tplc="F07A395A" w:tentative="1">
      <w:start w:val="1"/>
      <w:numFmt w:val="bullet"/>
      <w:lvlText w:val="•"/>
      <w:lvlJc w:val="left"/>
      <w:pPr>
        <w:tabs>
          <w:tab w:val="num" w:pos="1440"/>
        </w:tabs>
        <w:ind w:left="1440" w:hanging="360"/>
      </w:pPr>
      <w:rPr>
        <w:rFonts w:ascii="Times New Roman" w:hAnsi="Times New Roman" w:hint="default"/>
      </w:rPr>
    </w:lvl>
    <w:lvl w:ilvl="2" w:tplc="B4DAAF24" w:tentative="1">
      <w:start w:val="1"/>
      <w:numFmt w:val="bullet"/>
      <w:lvlText w:val="•"/>
      <w:lvlJc w:val="left"/>
      <w:pPr>
        <w:tabs>
          <w:tab w:val="num" w:pos="2160"/>
        </w:tabs>
        <w:ind w:left="2160" w:hanging="360"/>
      </w:pPr>
      <w:rPr>
        <w:rFonts w:ascii="Times New Roman" w:hAnsi="Times New Roman" w:hint="default"/>
      </w:rPr>
    </w:lvl>
    <w:lvl w:ilvl="3" w:tplc="66F2E240" w:tentative="1">
      <w:start w:val="1"/>
      <w:numFmt w:val="bullet"/>
      <w:lvlText w:val="•"/>
      <w:lvlJc w:val="left"/>
      <w:pPr>
        <w:tabs>
          <w:tab w:val="num" w:pos="2880"/>
        </w:tabs>
        <w:ind w:left="2880" w:hanging="360"/>
      </w:pPr>
      <w:rPr>
        <w:rFonts w:ascii="Times New Roman" w:hAnsi="Times New Roman" w:hint="default"/>
      </w:rPr>
    </w:lvl>
    <w:lvl w:ilvl="4" w:tplc="4752779E" w:tentative="1">
      <w:start w:val="1"/>
      <w:numFmt w:val="bullet"/>
      <w:lvlText w:val="•"/>
      <w:lvlJc w:val="left"/>
      <w:pPr>
        <w:tabs>
          <w:tab w:val="num" w:pos="3600"/>
        </w:tabs>
        <w:ind w:left="3600" w:hanging="360"/>
      </w:pPr>
      <w:rPr>
        <w:rFonts w:ascii="Times New Roman" w:hAnsi="Times New Roman" w:hint="default"/>
      </w:rPr>
    </w:lvl>
    <w:lvl w:ilvl="5" w:tplc="69B81BCA" w:tentative="1">
      <w:start w:val="1"/>
      <w:numFmt w:val="bullet"/>
      <w:lvlText w:val="•"/>
      <w:lvlJc w:val="left"/>
      <w:pPr>
        <w:tabs>
          <w:tab w:val="num" w:pos="4320"/>
        </w:tabs>
        <w:ind w:left="4320" w:hanging="360"/>
      </w:pPr>
      <w:rPr>
        <w:rFonts w:ascii="Times New Roman" w:hAnsi="Times New Roman" w:hint="default"/>
      </w:rPr>
    </w:lvl>
    <w:lvl w:ilvl="6" w:tplc="63505D16" w:tentative="1">
      <w:start w:val="1"/>
      <w:numFmt w:val="bullet"/>
      <w:lvlText w:val="•"/>
      <w:lvlJc w:val="left"/>
      <w:pPr>
        <w:tabs>
          <w:tab w:val="num" w:pos="5040"/>
        </w:tabs>
        <w:ind w:left="5040" w:hanging="360"/>
      </w:pPr>
      <w:rPr>
        <w:rFonts w:ascii="Times New Roman" w:hAnsi="Times New Roman" w:hint="default"/>
      </w:rPr>
    </w:lvl>
    <w:lvl w:ilvl="7" w:tplc="7B5CFA6E" w:tentative="1">
      <w:start w:val="1"/>
      <w:numFmt w:val="bullet"/>
      <w:lvlText w:val="•"/>
      <w:lvlJc w:val="left"/>
      <w:pPr>
        <w:tabs>
          <w:tab w:val="num" w:pos="5760"/>
        </w:tabs>
        <w:ind w:left="5760" w:hanging="360"/>
      </w:pPr>
      <w:rPr>
        <w:rFonts w:ascii="Times New Roman" w:hAnsi="Times New Roman" w:hint="default"/>
      </w:rPr>
    </w:lvl>
    <w:lvl w:ilvl="8" w:tplc="108AFBBE" w:tentative="1">
      <w:start w:val="1"/>
      <w:numFmt w:val="bullet"/>
      <w:lvlText w:val="•"/>
      <w:lvlJc w:val="left"/>
      <w:pPr>
        <w:tabs>
          <w:tab w:val="num" w:pos="6480"/>
        </w:tabs>
        <w:ind w:left="6480" w:hanging="360"/>
      </w:pPr>
      <w:rPr>
        <w:rFonts w:ascii="Times New Roman" w:hAnsi="Times New Roman" w:hint="default"/>
      </w:rPr>
    </w:lvl>
  </w:abstractNum>
  <w:abstractNum w:abstractNumId="5">
    <w:nsid w:val="3B0C798D"/>
    <w:multiLevelType w:val="hybridMultilevel"/>
    <w:tmpl w:val="B0A41D9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4054062F"/>
    <w:multiLevelType w:val="hybridMultilevel"/>
    <w:tmpl w:val="D7845BE4"/>
    <w:lvl w:ilvl="0" w:tplc="C35C5A8E">
      <w:start w:val="1"/>
      <w:numFmt w:val="bullet"/>
      <w:lvlText w:val="•"/>
      <w:lvlJc w:val="left"/>
      <w:pPr>
        <w:tabs>
          <w:tab w:val="num" w:pos="360"/>
        </w:tabs>
        <w:ind w:left="360" w:hanging="360"/>
      </w:pPr>
      <w:rPr>
        <w:rFonts w:ascii="Times New Roman" w:hAnsi="Times New Roman" w:hint="default"/>
      </w:rPr>
    </w:lvl>
    <w:lvl w:ilvl="1" w:tplc="685CF8C6" w:tentative="1">
      <w:start w:val="1"/>
      <w:numFmt w:val="bullet"/>
      <w:lvlText w:val="•"/>
      <w:lvlJc w:val="left"/>
      <w:pPr>
        <w:tabs>
          <w:tab w:val="num" w:pos="1080"/>
        </w:tabs>
        <w:ind w:left="1080" w:hanging="360"/>
      </w:pPr>
      <w:rPr>
        <w:rFonts w:ascii="Times New Roman" w:hAnsi="Times New Roman" w:hint="default"/>
      </w:rPr>
    </w:lvl>
    <w:lvl w:ilvl="2" w:tplc="8AA0A396" w:tentative="1">
      <w:start w:val="1"/>
      <w:numFmt w:val="bullet"/>
      <w:lvlText w:val="•"/>
      <w:lvlJc w:val="left"/>
      <w:pPr>
        <w:tabs>
          <w:tab w:val="num" w:pos="1800"/>
        </w:tabs>
        <w:ind w:left="1800" w:hanging="360"/>
      </w:pPr>
      <w:rPr>
        <w:rFonts w:ascii="Times New Roman" w:hAnsi="Times New Roman" w:hint="default"/>
      </w:rPr>
    </w:lvl>
    <w:lvl w:ilvl="3" w:tplc="5F64D452" w:tentative="1">
      <w:start w:val="1"/>
      <w:numFmt w:val="bullet"/>
      <w:lvlText w:val="•"/>
      <w:lvlJc w:val="left"/>
      <w:pPr>
        <w:tabs>
          <w:tab w:val="num" w:pos="2520"/>
        </w:tabs>
        <w:ind w:left="2520" w:hanging="360"/>
      </w:pPr>
      <w:rPr>
        <w:rFonts w:ascii="Times New Roman" w:hAnsi="Times New Roman" w:hint="default"/>
      </w:rPr>
    </w:lvl>
    <w:lvl w:ilvl="4" w:tplc="DAA0EE50" w:tentative="1">
      <w:start w:val="1"/>
      <w:numFmt w:val="bullet"/>
      <w:lvlText w:val="•"/>
      <w:lvlJc w:val="left"/>
      <w:pPr>
        <w:tabs>
          <w:tab w:val="num" w:pos="3240"/>
        </w:tabs>
        <w:ind w:left="3240" w:hanging="360"/>
      </w:pPr>
      <w:rPr>
        <w:rFonts w:ascii="Times New Roman" w:hAnsi="Times New Roman" w:hint="default"/>
      </w:rPr>
    </w:lvl>
    <w:lvl w:ilvl="5" w:tplc="360CF684" w:tentative="1">
      <w:start w:val="1"/>
      <w:numFmt w:val="bullet"/>
      <w:lvlText w:val="•"/>
      <w:lvlJc w:val="left"/>
      <w:pPr>
        <w:tabs>
          <w:tab w:val="num" w:pos="3960"/>
        </w:tabs>
        <w:ind w:left="3960" w:hanging="360"/>
      </w:pPr>
      <w:rPr>
        <w:rFonts w:ascii="Times New Roman" w:hAnsi="Times New Roman" w:hint="default"/>
      </w:rPr>
    </w:lvl>
    <w:lvl w:ilvl="6" w:tplc="E66C4C76" w:tentative="1">
      <w:start w:val="1"/>
      <w:numFmt w:val="bullet"/>
      <w:lvlText w:val="•"/>
      <w:lvlJc w:val="left"/>
      <w:pPr>
        <w:tabs>
          <w:tab w:val="num" w:pos="4680"/>
        </w:tabs>
        <w:ind w:left="4680" w:hanging="360"/>
      </w:pPr>
      <w:rPr>
        <w:rFonts w:ascii="Times New Roman" w:hAnsi="Times New Roman" w:hint="default"/>
      </w:rPr>
    </w:lvl>
    <w:lvl w:ilvl="7" w:tplc="B15482C4" w:tentative="1">
      <w:start w:val="1"/>
      <w:numFmt w:val="bullet"/>
      <w:lvlText w:val="•"/>
      <w:lvlJc w:val="left"/>
      <w:pPr>
        <w:tabs>
          <w:tab w:val="num" w:pos="5400"/>
        </w:tabs>
        <w:ind w:left="5400" w:hanging="360"/>
      </w:pPr>
      <w:rPr>
        <w:rFonts w:ascii="Times New Roman" w:hAnsi="Times New Roman" w:hint="default"/>
      </w:rPr>
    </w:lvl>
    <w:lvl w:ilvl="8" w:tplc="0F7AFAE0" w:tentative="1">
      <w:start w:val="1"/>
      <w:numFmt w:val="bullet"/>
      <w:lvlText w:val="•"/>
      <w:lvlJc w:val="left"/>
      <w:pPr>
        <w:tabs>
          <w:tab w:val="num" w:pos="6120"/>
        </w:tabs>
        <w:ind w:left="6120" w:hanging="360"/>
      </w:pPr>
      <w:rPr>
        <w:rFonts w:ascii="Times New Roman" w:hAnsi="Times New Roman" w:hint="default"/>
      </w:rPr>
    </w:lvl>
  </w:abstractNum>
  <w:abstractNum w:abstractNumId="7">
    <w:nsid w:val="51C11E56"/>
    <w:multiLevelType w:val="hybridMultilevel"/>
    <w:tmpl w:val="E11A65C4"/>
    <w:lvl w:ilvl="0" w:tplc="0809000F">
      <w:start w:val="1"/>
      <w:numFmt w:val="decimal"/>
      <w:lvlText w:val="%1."/>
      <w:lvlJc w:val="left"/>
      <w:pPr>
        <w:tabs>
          <w:tab w:val="num" w:pos="-60"/>
        </w:tabs>
        <w:ind w:left="-60" w:hanging="360"/>
      </w:pPr>
      <w:rPr>
        <w:rFonts w:cs="Times New Roman"/>
      </w:rPr>
    </w:lvl>
    <w:lvl w:ilvl="1" w:tplc="08090019" w:tentative="1">
      <w:start w:val="1"/>
      <w:numFmt w:val="lowerLetter"/>
      <w:lvlText w:val="%2."/>
      <w:lvlJc w:val="left"/>
      <w:pPr>
        <w:tabs>
          <w:tab w:val="num" w:pos="660"/>
        </w:tabs>
        <w:ind w:left="660" w:hanging="360"/>
      </w:pPr>
      <w:rPr>
        <w:rFonts w:cs="Times New Roman"/>
      </w:rPr>
    </w:lvl>
    <w:lvl w:ilvl="2" w:tplc="0809001B" w:tentative="1">
      <w:start w:val="1"/>
      <w:numFmt w:val="lowerRoman"/>
      <w:lvlText w:val="%3."/>
      <w:lvlJc w:val="right"/>
      <w:pPr>
        <w:tabs>
          <w:tab w:val="num" w:pos="1380"/>
        </w:tabs>
        <w:ind w:left="1380" w:hanging="180"/>
      </w:pPr>
      <w:rPr>
        <w:rFonts w:cs="Times New Roman"/>
      </w:rPr>
    </w:lvl>
    <w:lvl w:ilvl="3" w:tplc="0809000F" w:tentative="1">
      <w:start w:val="1"/>
      <w:numFmt w:val="decimal"/>
      <w:lvlText w:val="%4."/>
      <w:lvlJc w:val="left"/>
      <w:pPr>
        <w:tabs>
          <w:tab w:val="num" w:pos="2100"/>
        </w:tabs>
        <w:ind w:left="2100" w:hanging="360"/>
      </w:pPr>
      <w:rPr>
        <w:rFonts w:cs="Times New Roman"/>
      </w:rPr>
    </w:lvl>
    <w:lvl w:ilvl="4" w:tplc="08090019" w:tentative="1">
      <w:start w:val="1"/>
      <w:numFmt w:val="lowerLetter"/>
      <w:lvlText w:val="%5."/>
      <w:lvlJc w:val="left"/>
      <w:pPr>
        <w:tabs>
          <w:tab w:val="num" w:pos="2820"/>
        </w:tabs>
        <w:ind w:left="2820" w:hanging="360"/>
      </w:pPr>
      <w:rPr>
        <w:rFonts w:cs="Times New Roman"/>
      </w:rPr>
    </w:lvl>
    <w:lvl w:ilvl="5" w:tplc="0809001B" w:tentative="1">
      <w:start w:val="1"/>
      <w:numFmt w:val="lowerRoman"/>
      <w:lvlText w:val="%6."/>
      <w:lvlJc w:val="right"/>
      <w:pPr>
        <w:tabs>
          <w:tab w:val="num" w:pos="3540"/>
        </w:tabs>
        <w:ind w:left="3540" w:hanging="180"/>
      </w:pPr>
      <w:rPr>
        <w:rFonts w:cs="Times New Roman"/>
      </w:rPr>
    </w:lvl>
    <w:lvl w:ilvl="6" w:tplc="0809000F" w:tentative="1">
      <w:start w:val="1"/>
      <w:numFmt w:val="decimal"/>
      <w:lvlText w:val="%7."/>
      <w:lvlJc w:val="left"/>
      <w:pPr>
        <w:tabs>
          <w:tab w:val="num" w:pos="4260"/>
        </w:tabs>
        <w:ind w:left="4260" w:hanging="360"/>
      </w:pPr>
      <w:rPr>
        <w:rFonts w:cs="Times New Roman"/>
      </w:rPr>
    </w:lvl>
    <w:lvl w:ilvl="7" w:tplc="08090019" w:tentative="1">
      <w:start w:val="1"/>
      <w:numFmt w:val="lowerLetter"/>
      <w:lvlText w:val="%8."/>
      <w:lvlJc w:val="left"/>
      <w:pPr>
        <w:tabs>
          <w:tab w:val="num" w:pos="4980"/>
        </w:tabs>
        <w:ind w:left="4980" w:hanging="360"/>
      </w:pPr>
      <w:rPr>
        <w:rFonts w:cs="Times New Roman"/>
      </w:rPr>
    </w:lvl>
    <w:lvl w:ilvl="8" w:tplc="0809001B" w:tentative="1">
      <w:start w:val="1"/>
      <w:numFmt w:val="lowerRoman"/>
      <w:lvlText w:val="%9."/>
      <w:lvlJc w:val="right"/>
      <w:pPr>
        <w:tabs>
          <w:tab w:val="num" w:pos="5700"/>
        </w:tabs>
        <w:ind w:left="5700" w:hanging="180"/>
      </w:pPr>
      <w:rPr>
        <w:rFonts w:cs="Times New Roman"/>
      </w:rPr>
    </w:lvl>
  </w:abstractNum>
  <w:abstractNum w:abstractNumId="8">
    <w:nsid w:val="7495571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
    <w:nsid w:val="76184AEE"/>
    <w:multiLevelType w:val="hybridMultilevel"/>
    <w:tmpl w:val="C88C3068"/>
    <w:lvl w:ilvl="0" w:tplc="08090001">
      <w:start w:val="1"/>
      <w:numFmt w:val="bullet"/>
      <w:lvlText w:val=""/>
      <w:lvlJc w:val="left"/>
      <w:pPr>
        <w:tabs>
          <w:tab w:val="num" w:pos="779"/>
        </w:tabs>
        <w:ind w:left="779"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num w:numId="1">
    <w:abstractNumId w:val="5"/>
  </w:num>
  <w:num w:numId="2">
    <w:abstractNumId w:val="8"/>
  </w:num>
  <w:num w:numId="3">
    <w:abstractNumId w:val="1"/>
  </w:num>
  <w:num w:numId="4">
    <w:abstractNumId w:val="6"/>
  </w:num>
  <w:num w:numId="5">
    <w:abstractNumId w:val="2"/>
  </w:num>
  <w:num w:numId="6">
    <w:abstractNumId w:val="3"/>
  </w:num>
  <w:num w:numId="7">
    <w:abstractNumId w:val="0"/>
  </w:num>
  <w:num w:numId="8">
    <w:abstractNumId w:val="4"/>
  </w:num>
  <w:num w:numId="9">
    <w:abstractNumId w:val="7"/>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hyphenationZone w:val="425"/>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15420"/>
    <w:rsid w:val="00001B42"/>
    <w:rsid w:val="00002775"/>
    <w:rsid w:val="00004840"/>
    <w:rsid w:val="000061D9"/>
    <w:rsid w:val="00011857"/>
    <w:rsid w:val="00014C98"/>
    <w:rsid w:val="00021E1C"/>
    <w:rsid w:val="000228E5"/>
    <w:rsid w:val="00022C30"/>
    <w:rsid w:val="000267D7"/>
    <w:rsid w:val="00026DD6"/>
    <w:rsid w:val="000329B4"/>
    <w:rsid w:val="00034523"/>
    <w:rsid w:val="000348C5"/>
    <w:rsid w:val="00035CA9"/>
    <w:rsid w:val="0004474F"/>
    <w:rsid w:val="0005382F"/>
    <w:rsid w:val="00054152"/>
    <w:rsid w:val="00060D40"/>
    <w:rsid w:val="00063F75"/>
    <w:rsid w:val="000666AE"/>
    <w:rsid w:val="000670CB"/>
    <w:rsid w:val="00071E79"/>
    <w:rsid w:val="00075B86"/>
    <w:rsid w:val="000906E4"/>
    <w:rsid w:val="00092282"/>
    <w:rsid w:val="0009297A"/>
    <w:rsid w:val="000A5598"/>
    <w:rsid w:val="000B1F08"/>
    <w:rsid w:val="000B5FCD"/>
    <w:rsid w:val="000C3351"/>
    <w:rsid w:val="000D62A6"/>
    <w:rsid w:val="000E1EFF"/>
    <w:rsid w:val="000F716E"/>
    <w:rsid w:val="001119C2"/>
    <w:rsid w:val="00112637"/>
    <w:rsid w:val="00117D96"/>
    <w:rsid w:val="0012391E"/>
    <w:rsid w:val="00132031"/>
    <w:rsid w:val="00135CE7"/>
    <w:rsid w:val="00144396"/>
    <w:rsid w:val="00166FA1"/>
    <w:rsid w:val="0016794D"/>
    <w:rsid w:val="00181A19"/>
    <w:rsid w:val="0019255A"/>
    <w:rsid w:val="001A3CF3"/>
    <w:rsid w:val="001A5CF5"/>
    <w:rsid w:val="001A7E73"/>
    <w:rsid w:val="001B0309"/>
    <w:rsid w:val="001B0336"/>
    <w:rsid w:val="001B365B"/>
    <w:rsid w:val="001C5161"/>
    <w:rsid w:val="001D42A8"/>
    <w:rsid w:val="001D6E7F"/>
    <w:rsid w:val="001E02C9"/>
    <w:rsid w:val="001E2B76"/>
    <w:rsid w:val="001E619A"/>
    <w:rsid w:val="001F13E9"/>
    <w:rsid w:val="001F2203"/>
    <w:rsid w:val="001F2A0E"/>
    <w:rsid w:val="001F6F88"/>
    <w:rsid w:val="002040A3"/>
    <w:rsid w:val="0020772F"/>
    <w:rsid w:val="002077F3"/>
    <w:rsid w:val="002134C4"/>
    <w:rsid w:val="00220D7B"/>
    <w:rsid w:val="00242A02"/>
    <w:rsid w:val="00246208"/>
    <w:rsid w:val="00251580"/>
    <w:rsid w:val="00252114"/>
    <w:rsid w:val="00255F6A"/>
    <w:rsid w:val="00257B94"/>
    <w:rsid w:val="00263229"/>
    <w:rsid w:val="00265570"/>
    <w:rsid w:val="00270C70"/>
    <w:rsid w:val="0027360E"/>
    <w:rsid w:val="0027475E"/>
    <w:rsid w:val="0028260C"/>
    <w:rsid w:val="00290A52"/>
    <w:rsid w:val="00295F3A"/>
    <w:rsid w:val="002A7669"/>
    <w:rsid w:val="002B135F"/>
    <w:rsid w:val="002B6ED4"/>
    <w:rsid w:val="002C3ABB"/>
    <w:rsid w:val="002C57B4"/>
    <w:rsid w:val="002D130D"/>
    <w:rsid w:val="002D18A5"/>
    <w:rsid w:val="002D240B"/>
    <w:rsid w:val="002D2B9D"/>
    <w:rsid w:val="002D5CEA"/>
    <w:rsid w:val="002D7A0F"/>
    <w:rsid w:val="002F03B6"/>
    <w:rsid w:val="002F0CFC"/>
    <w:rsid w:val="002F145F"/>
    <w:rsid w:val="002F2229"/>
    <w:rsid w:val="002F3B46"/>
    <w:rsid w:val="002F5063"/>
    <w:rsid w:val="003004A3"/>
    <w:rsid w:val="00312498"/>
    <w:rsid w:val="0031511C"/>
    <w:rsid w:val="00320E79"/>
    <w:rsid w:val="003215BA"/>
    <w:rsid w:val="00331C29"/>
    <w:rsid w:val="003321BC"/>
    <w:rsid w:val="00333D9B"/>
    <w:rsid w:val="003348C9"/>
    <w:rsid w:val="00351538"/>
    <w:rsid w:val="00351E69"/>
    <w:rsid w:val="003804E1"/>
    <w:rsid w:val="00380B89"/>
    <w:rsid w:val="0038180B"/>
    <w:rsid w:val="003823B2"/>
    <w:rsid w:val="00387E2C"/>
    <w:rsid w:val="003B02BF"/>
    <w:rsid w:val="003B59FC"/>
    <w:rsid w:val="003B76C9"/>
    <w:rsid w:val="003C11FC"/>
    <w:rsid w:val="003D0F87"/>
    <w:rsid w:val="003E3FF6"/>
    <w:rsid w:val="003E7312"/>
    <w:rsid w:val="003F058E"/>
    <w:rsid w:val="003F1801"/>
    <w:rsid w:val="003F2B93"/>
    <w:rsid w:val="00400FA2"/>
    <w:rsid w:val="004265A9"/>
    <w:rsid w:val="00427835"/>
    <w:rsid w:val="00427D6C"/>
    <w:rsid w:val="004349DC"/>
    <w:rsid w:val="00440E27"/>
    <w:rsid w:val="00445D9E"/>
    <w:rsid w:val="00446E88"/>
    <w:rsid w:val="004475B7"/>
    <w:rsid w:val="00447FFA"/>
    <w:rsid w:val="004639DB"/>
    <w:rsid w:val="00464FC7"/>
    <w:rsid w:val="00467059"/>
    <w:rsid w:val="00473538"/>
    <w:rsid w:val="00474002"/>
    <w:rsid w:val="00475F06"/>
    <w:rsid w:val="00485924"/>
    <w:rsid w:val="00487738"/>
    <w:rsid w:val="00491A8C"/>
    <w:rsid w:val="004A2B2B"/>
    <w:rsid w:val="004B7FB9"/>
    <w:rsid w:val="004C18DD"/>
    <w:rsid w:val="004C220D"/>
    <w:rsid w:val="004C3FF5"/>
    <w:rsid w:val="004D3CC5"/>
    <w:rsid w:val="004D51E6"/>
    <w:rsid w:val="004E03A3"/>
    <w:rsid w:val="004E2A58"/>
    <w:rsid w:val="004E571D"/>
    <w:rsid w:val="004E59B0"/>
    <w:rsid w:val="004F0B57"/>
    <w:rsid w:val="004F2AA7"/>
    <w:rsid w:val="004F63FC"/>
    <w:rsid w:val="004F6822"/>
    <w:rsid w:val="005019ED"/>
    <w:rsid w:val="00501E99"/>
    <w:rsid w:val="00502493"/>
    <w:rsid w:val="005054DD"/>
    <w:rsid w:val="00506E1D"/>
    <w:rsid w:val="00511BFA"/>
    <w:rsid w:val="00512924"/>
    <w:rsid w:val="00513274"/>
    <w:rsid w:val="005173A6"/>
    <w:rsid w:val="005208ED"/>
    <w:rsid w:val="00523A2A"/>
    <w:rsid w:val="00530F12"/>
    <w:rsid w:val="00544B72"/>
    <w:rsid w:val="005461AB"/>
    <w:rsid w:val="00546855"/>
    <w:rsid w:val="00556BB6"/>
    <w:rsid w:val="00562FFC"/>
    <w:rsid w:val="00577DCB"/>
    <w:rsid w:val="00580422"/>
    <w:rsid w:val="00580803"/>
    <w:rsid w:val="00584F94"/>
    <w:rsid w:val="00591137"/>
    <w:rsid w:val="005962F8"/>
    <w:rsid w:val="005A4929"/>
    <w:rsid w:val="005A4EBC"/>
    <w:rsid w:val="005A71E3"/>
    <w:rsid w:val="005B0285"/>
    <w:rsid w:val="005B0E61"/>
    <w:rsid w:val="005B1B9B"/>
    <w:rsid w:val="005B3124"/>
    <w:rsid w:val="005C7FE3"/>
    <w:rsid w:val="005D31B4"/>
    <w:rsid w:val="005D5512"/>
    <w:rsid w:val="005D6023"/>
    <w:rsid w:val="005F2BAD"/>
    <w:rsid w:val="005F332F"/>
    <w:rsid w:val="005F4F61"/>
    <w:rsid w:val="006004A7"/>
    <w:rsid w:val="00611A73"/>
    <w:rsid w:val="00621F63"/>
    <w:rsid w:val="00623409"/>
    <w:rsid w:val="00625928"/>
    <w:rsid w:val="006307B5"/>
    <w:rsid w:val="00633714"/>
    <w:rsid w:val="00635730"/>
    <w:rsid w:val="006445AF"/>
    <w:rsid w:val="00655BF9"/>
    <w:rsid w:val="006565DD"/>
    <w:rsid w:val="0066469D"/>
    <w:rsid w:val="00682D61"/>
    <w:rsid w:val="00683377"/>
    <w:rsid w:val="00685162"/>
    <w:rsid w:val="0069178E"/>
    <w:rsid w:val="006955E8"/>
    <w:rsid w:val="006A2624"/>
    <w:rsid w:val="006A57A3"/>
    <w:rsid w:val="006A6FBC"/>
    <w:rsid w:val="006B13A4"/>
    <w:rsid w:val="006B2394"/>
    <w:rsid w:val="006B28D4"/>
    <w:rsid w:val="006B46D0"/>
    <w:rsid w:val="006D0AE9"/>
    <w:rsid w:val="006D5922"/>
    <w:rsid w:val="006D5B1A"/>
    <w:rsid w:val="006E717A"/>
    <w:rsid w:val="006F3677"/>
    <w:rsid w:val="006F447E"/>
    <w:rsid w:val="0070771B"/>
    <w:rsid w:val="007100B7"/>
    <w:rsid w:val="00715EA2"/>
    <w:rsid w:val="00721BD0"/>
    <w:rsid w:val="007303EC"/>
    <w:rsid w:val="00730C51"/>
    <w:rsid w:val="00744629"/>
    <w:rsid w:val="00746B97"/>
    <w:rsid w:val="00753359"/>
    <w:rsid w:val="00760109"/>
    <w:rsid w:val="00774C7E"/>
    <w:rsid w:val="007776AA"/>
    <w:rsid w:val="00777E35"/>
    <w:rsid w:val="007866D6"/>
    <w:rsid w:val="007877AE"/>
    <w:rsid w:val="00794A91"/>
    <w:rsid w:val="00796D46"/>
    <w:rsid w:val="007A058B"/>
    <w:rsid w:val="007A131C"/>
    <w:rsid w:val="007B6D74"/>
    <w:rsid w:val="007B7125"/>
    <w:rsid w:val="007C1023"/>
    <w:rsid w:val="007C4009"/>
    <w:rsid w:val="007C407D"/>
    <w:rsid w:val="007C7F0E"/>
    <w:rsid w:val="007E1749"/>
    <w:rsid w:val="007E548D"/>
    <w:rsid w:val="007F1B76"/>
    <w:rsid w:val="007F4BFE"/>
    <w:rsid w:val="007F5B6D"/>
    <w:rsid w:val="008026B3"/>
    <w:rsid w:val="00802EE8"/>
    <w:rsid w:val="0080543E"/>
    <w:rsid w:val="00806F15"/>
    <w:rsid w:val="008073C1"/>
    <w:rsid w:val="008202D9"/>
    <w:rsid w:val="008307F6"/>
    <w:rsid w:val="008408F5"/>
    <w:rsid w:val="00840B3F"/>
    <w:rsid w:val="008420B1"/>
    <w:rsid w:val="00842428"/>
    <w:rsid w:val="008432A5"/>
    <w:rsid w:val="00856215"/>
    <w:rsid w:val="00865C83"/>
    <w:rsid w:val="00870D8A"/>
    <w:rsid w:val="008758E3"/>
    <w:rsid w:val="0088034F"/>
    <w:rsid w:val="0088057F"/>
    <w:rsid w:val="00883756"/>
    <w:rsid w:val="008A0802"/>
    <w:rsid w:val="008A1203"/>
    <w:rsid w:val="008A1E07"/>
    <w:rsid w:val="008A2559"/>
    <w:rsid w:val="008A74AD"/>
    <w:rsid w:val="008B2AFA"/>
    <w:rsid w:val="008B3AA5"/>
    <w:rsid w:val="008B5A6B"/>
    <w:rsid w:val="008C21FB"/>
    <w:rsid w:val="008D5EB5"/>
    <w:rsid w:val="008E5A93"/>
    <w:rsid w:val="008F2C73"/>
    <w:rsid w:val="008F5DFE"/>
    <w:rsid w:val="008F743E"/>
    <w:rsid w:val="009013AA"/>
    <w:rsid w:val="00904D1A"/>
    <w:rsid w:val="00907B1C"/>
    <w:rsid w:val="009245FB"/>
    <w:rsid w:val="0092701A"/>
    <w:rsid w:val="00931BF9"/>
    <w:rsid w:val="00940D42"/>
    <w:rsid w:val="00944D9D"/>
    <w:rsid w:val="00955E19"/>
    <w:rsid w:val="00956590"/>
    <w:rsid w:val="009636FE"/>
    <w:rsid w:val="00964EB3"/>
    <w:rsid w:val="00964FA9"/>
    <w:rsid w:val="0097173A"/>
    <w:rsid w:val="00973A44"/>
    <w:rsid w:val="0098692B"/>
    <w:rsid w:val="009901D4"/>
    <w:rsid w:val="00992DED"/>
    <w:rsid w:val="00993FD1"/>
    <w:rsid w:val="009A4719"/>
    <w:rsid w:val="009A6432"/>
    <w:rsid w:val="009C0EF5"/>
    <w:rsid w:val="009C2BB2"/>
    <w:rsid w:val="009C3AC9"/>
    <w:rsid w:val="009D59DA"/>
    <w:rsid w:val="009E066C"/>
    <w:rsid w:val="009E0687"/>
    <w:rsid w:val="009F1C55"/>
    <w:rsid w:val="009F201D"/>
    <w:rsid w:val="00A01059"/>
    <w:rsid w:val="00A06255"/>
    <w:rsid w:val="00A17A2F"/>
    <w:rsid w:val="00A33300"/>
    <w:rsid w:val="00A361E7"/>
    <w:rsid w:val="00A4322B"/>
    <w:rsid w:val="00A468DD"/>
    <w:rsid w:val="00A475AE"/>
    <w:rsid w:val="00A50012"/>
    <w:rsid w:val="00A66374"/>
    <w:rsid w:val="00A7015D"/>
    <w:rsid w:val="00A7048D"/>
    <w:rsid w:val="00A70AEF"/>
    <w:rsid w:val="00A7533D"/>
    <w:rsid w:val="00A80FDA"/>
    <w:rsid w:val="00A8132F"/>
    <w:rsid w:val="00A81A70"/>
    <w:rsid w:val="00A83F62"/>
    <w:rsid w:val="00A90468"/>
    <w:rsid w:val="00A92B48"/>
    <w:rsid w:val="00AA3677"/>
    <w:rsid w:val="00AA66EA"/>
    <w:rsid w:val="00AB17CF"/>
    <w:rsid w:val="00AB25A1"/>
    <w:rsid w:val="00AB2B9D"/>
    <w:rsid w:val="00AB4C88"/>
    <w:rsid w:val="00AB7E90"/>
    <w:rsid w:val="00AD0B08"/>
    <w:rsid w:val="00AD0DD7"/>
    <w:rsid w:val="00AD3821"/>
    <w:rsid w:val="00AD38C1"/>
    <w:rsid w:val="00AD6251"/>
    <w:rsid w:val="00AF2CB4"/>
    <w:rsid w:val="00B04CD1"/>
    <w:rsid w:val="00B25C98"/>
    <w:rsid w:val="00B33E76"/>
    <w:rsid w:val="00B46180"/>
    <w:rsid w:val="00B560B6"/>
    <w:rsid w:val="00B645A2"/>
    <w:rsid w:val="00B729F6"/>
    <w:rsid w:val="00B72DEA"/>
    <w:rsid w:val="00B82F1A"/>
    <w:rsid w:val="00B838D9"/>
    <w:rsid w:val="00B85E0E"/>
    <w:rsid w:val="00B902F3"/>
    <w:rsid w:val="00B90970"/>
    <w:rsid w:val="00B93F4F"/>
    <w:rsid w:val="00B961A6"/>
    <w:rsid w:val="00B966DF"/>
    <w:rsid w:val="00BA05C5"/>
    <w:rsid w:val="00BA1A68"/>
    <w:rsid w:val="00BA3526"/>
    <w:rsid w:val="00BB1360"/>
    <w:rsid w:val="00BB234C"/>
    <w:rsid w:val="00BB34D7"/>
    <w:rsid w:val="00BC139C"/>
    <w:rsid w:val="00BC43A5"/>
    <w:rsid w:val="00BD159F"/>
    <w:rsid w:val="00BE3D4D"/>
    <w:rsid w:val="00BF3EAD"/>
    <w:rsid w:val="00BF40D1"/>
    <w:rsid w:val="00C005E0"/>
    <w:rsid w:val="00C06795"/>
    <w:rsid w:val="00C15B42"/>
    <w:rsid w:val="00C40706"/>
    <w:rsid w:val="00C409CD"/>
    <w:rsid w:val="00C428AB"/>
    <w:rsid w:val="00C6290A"/>
    <w:rsid w:val="00C77159"/>
    <w:rsid w:val="00C84BDF"/>
    <w:rsid w:val="00C84DEE"/>
    <w:rsid w:val="00CC54C3"/>
    <w:rsid w:val="00CD45B7"/>
    <w:rsid w:val="00CE1E55"/>
    <w:rsid w:val="00CF43FF"/>
    <w:rsid w:val="00CF6A3B"/>
    <w:rsid w:val="00CF7479"/>
    <w:rsid w:val="00D05A78"/>
    <w:rsid w:val="00D073C9"/>
    <w:rsid w:val="00D12CB0"/>
    <w:rsid w:val="00D1548D"/>
    <w:rsid w:val="00D2648C"/>
    <w:rsid w:val="00D31764"/>
    <w:rsid w:val="00D37EB9"/>
    <w:rsid w:val="00D41475"/>
    <w:rsid w:val="00D44A1D"/>
    <w:rsid w:val="00D61B52"/>
    <w:rsid w:val="00D62CD2"/>
    <w:rsid w:val="00D65007"/>
    <w:rsid w:val="00D73F6F"/>
    <w:rsid w:val="00D800DC"/>
    <w:rsid w:val="00D8014E"/>
    <w:rsid w:val="00D856E6"/>
    <w:rsid w:val="00DA1CEC"/>
    <w:rsid w:val="00DA7895"/>
    <w:rsid w:val="00DB0A8A"/>
    <w:rsid w:val="00DB1643"/>
    <w:rsid w:val="00DB1BE6"/>
    <w:rsid w:val="00DB45C2"/>
    <w:rsid w:val="00DB5861"/>
    <w:rsid w:val="00DB6356"/>
    <w:rsid w:val="00DC08FD"/>
    <w:rsid w:val="00DC2121"/>
    <w:rsid w:val="00DC4A68"/>
    <w:rsid w:val="00DC5179"/>
    <w:rsid w:val="00DD0F1B"/>
    <w:rsid w:val="00DD5892"/>
    <w:rsid w:val="00DD59ED"/>
    <w:rsid w:val="00DE3166"/>
    <w:rsid w:val="00DF33D7"/>
    <w:rsid w:val="00DF4E54"/>
    <w:rsid w:val="00DF593A"/>
    <w:rsid w:val="00E01129"/>
    <w:rsid w:val="00E06FD3"/>
    <w:rsid w:val="00E107C9"/>
    <w:rsid w:val="00E15C42"/>
    <w:rsid w:val="00E25B8D"/>
    <w:rsid w:val="00E2723C"/>
    <w:rsid w:val="00E31200"/>
    <w:rsid w:val="00E31286"/>
    <w:rsid w:val="00E31FEB"/>
    <w:rsid w:val="00E320A6"/>
    <w:rsid w:val="00E32159"/>
    <w:rsid w:val="00E37B22"/>
    <w:rsid w:val="00E411F1"/>
    <w:rsid w:val="00E51009"/>
    <w:rsid w:val="00E536D8"/>
    <w:rsid w:val="00E64396"/>
    <w:rsid w:val="00E7182A"/>
    <w:rsid w:val="00E731C6"/>
    <w:rsid w:val="00E86A7B"/>
    <w:rsid w:val="00E90FFE"/>
    <w:rsid w:val="00E92E90"/>
    <w:rsid w:val="00E954D4"/>
    <w:rsid w:val="00EA032E"/>
    <w:rsid w:val="00EA0352"/>
    <w:rsid w:val="00EA2D75"/>
    <w:rsid w:val="00EB2E39"/>
    <w:rsid w:val="00EB2EBE"/>
    <w:rsid w:val="00EC2D18"/>
    <w:rsid w:val="00EF0C67"/>
    <w:rsid w:val="00EF7539"/>
    <w:rsid w:val="00EF7AEA"/>
    <w:rsid w:val="00F01686"/>
    <w:rsid w:val="00F020C4"/>
    <w:rsid w:val="00F15176"/>
    <w:rsid w:val="00F15420"/>
    <w:rsid w:val="00F1690A"/>
    <w:rsid w:val="00F2387F"/>
    <w:rsid w:val="00F24D71"/>
    <w:rsid w:val="00F2527A"/>
    <w:rsid w:val="00F31E6D"/>
    <w:rsid w:val="00F47F53"/>
    <w:rsid w:val="00F51CDC"/>
    <w:rsid w:val="00F552A7"/>
    <w:rsid w:val="00F569CC"/>
    <w:rsid w:val="00F618B2"/>
    <w:rsid w:val="00F65224"/>
    <w:rsid w:val="00F653BC"/>
    <w:rsid w:val="00F65816"/>
    <w:rsid w:val="00F67B08"/>
    <w:rsid w:val="00F729EC"/>
    <w:rsid w:val="00F831E6"/>
    <w:rsid w:val="00F94F0F"/>
    <w:rsid w:val="00F9521D"/>
    <w:rsid w:val="00FA1E23"/>
    <w:rsid w:val="00FA664C"/>
    <w:rsid w:val="00FA7251"/>
    <w:rsid w:val="00FB0736"/>
    <w:rsid w:val="00FB28A0"/>
    <w:rsid w:val="00FC0BD4"/>
    <w:rsid w:val="00FC3DA7"/>
    <w:rsid w:val="00FC4889"/>
    <w:rsid w:val="00FC6018"/>
    <w:rsid w:val="00FE2DB4"/>
    <w:rsid w:val="00FF3B54"/>
    <w:rsid w:val="00FF3E9D"/>
    <w:rsid w:val="00FF63BE"/>
    <w:rsid w:val="00FF7B3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0DC"/>
    <w:rPr>
      <w:sz w:val="24"/>
      <w:szCs w:val="24"/>
      <w:lang w:val="en-GB"/>
    </w:rPr>
  </w:style>
  <w:style w:type="paragraph" w:styleId="Heading1">
    <w:name w:val="heading 1"/>
    <w:basedOn w:val="Normal"/>
    <w:next w:val="Normal"/>
    <w:link w:val="Heading1Char"/>
    <w:uiPriority w:val="99"/>
    <w:qFormat/>
    <w:rsid w:val="004F0B57"/>
    <w:pPr>
      <w:keepNext/>
      <w:jc w:val="both"/>
      <w:outlineLvl w:val="0"/>
    </w:pPr>
    <w:rPr>
      <w:rFonts w:ascii="Arial" w:hAnsi="Arial" w:cs="Arial"/>
      <w:b/>
      <w:bCs/>
    </w:rPr>
  </w:style>
  <w:style w:type="paragraph" w:styleId="Heading2">
    <w:name w:val="heading 2"/>
    <w:basedOn w:val="Normal"/>
    <w:next w:val="Normal"/>
    <w:link w:val="Heading2Char"/>
    <w:uiPriority w:val="99"/>
    <w:qFormat/>
    <w:rsid w:val="004F0B57"/>
    <w:pPr>
      <w:keepNext/>
      <w:ind w:left="-720"/>
      <w:jc w:val="both"/>
      <w:outlineLvl w:val="1"/>
    </w:pPr>
    <w:rPr>
      <w:rFonts w:ascii="Arial" w:hAnsi="Arial" w:cs="Arial"/>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B1BE6"/>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DB1BE6"/>
    <w:rPr>
      <w:rFonts w:ascii="Cambria" w:hAnsi="Cambria" w:cs="Times New Roman"/>
      <w:b/>
      <w:bCs/>
      <w:i/>
      <w:iCs/>
      <w:sz w:val="28"/>
      <w:szCs w:val="28"/>
      <w:lang w:eastAsia="en-US"/>
    </w:rPr>
  </w:style>
  <w:style w:type="paragraph" w:styleId="Title">
    <w:name w:val="Title"/>
    <w:basedOn w:val="Normal"/>
    <w:link w:val="TitleChar"/>
    <w:uiPriority w:val="99"/>
    <w:qFormat/>
    <w:rsid w:val="004F0B57"/>
    <w:pPr>
      <w:jc w:val="center"/>
    </w:pPr>
    <w:rPr>
      <w:rFonts w:ascii="Arial" w:hAnsi="Arial" w:cs="Arial"/>
      <w:b/>
      <w:bCs/>
    </w:rPr>
  </w:style>
  <w:style w:type="character" w:customStyle="1" w:styleId="TitleChar">
    <w:name w:val="Title Char"/>
    <w:basedOn w:val="DefaultParagraphFont"/>
    <w:link w:val="Title"/>
    <w:uiPriority w:val="99"/>
    <w:locked/>
    <w:rsid w:val="00DB1BE6"/>
    <w:rPr>
      <w:rFonts w:ascii="Cambria" w:hAnsi="Cambria" w:cs="Times New Roman"/>
      <w:b/>
      <w:bCs/>
      <w:kern w:val="28"/>
      <w:sz w:val="32"/>
      <w:szCs w:val="32"/>
      <w:lang w:eastAsia="en-US"/>
    </w:rPr>
  </w:style>
  <w:style w:type="paragraph" w:styleId="BodyTextIndent">
    <w:name w:val="Body Text Indent"/>
    <w:basedOn w:val="Normal"/>
    <w:link w:val="BodyTextIndentChar"/>
    <w:uiPriority w:val="99"/>
    <w:rsid w:val="004F0B57"/>
    <w:pPr>
      <w:ind w:left="-720"/>
      <w:jc w:val="both"/>
    </w:pPr>
    <w:rPr>
      <w:rFonts w:ascii="Arial" w:hAnsi="Arial"/>
    </w:rPr>
  </w:style>
  <w:style w:type="character" w:customStyle="1" w:styleId="BodyTextIndentChar">
    <w:name w:val="Body Text Indent Char"/>
    <w:basedOn w:val="DefaultParagraphFont"/>
    <w:link w:val="BodyTextIndent"/>
    <w:uiPriority w:val="99"/>
    <w:semiHidden/>
    <w:locked/>
    <w:rsid w:val="00DB1BE6"/>
    <w:rPr>
      <w:rFonts w:cs="Times New Roman"/>
      <w:sz w:val="24"/>
      <w:szCs w:val="24"/>
      <w:lang w:eastAsia="en-US"/>
    </w:rPr>
  </w:style>
  <w:style w:type="paragraph" w:styleId="BalloonText">
    <w:name w:val="Balloon Text"/>
    <w:basedOn w:val="Normal"/>
    <w:link w:val="BalloonTextChar"/>
    <w:uiPriority w:val="99"/>
    <w:semiHidden/>
    <w:rsid w:val="004F0B5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B1BE6"/>
    <w:rPr>
      <w:rFonts w:cs="Times New Roman"/>
      <w:sz w:val="2"/>
      <w:lang w:eastAsia="en-US"/>
    </w:rPr>
  </w:style>
  <w:style w:type="paragraph" w:styleId="NormalWeb">
    <w:name w:val="Normal (Web)"/>
    <w:basedOn w:val="Normal"/>
    <w:uiPriority w:val="99"/>
    <w:rsid w:val="006004A7"/>
    <w:pPr>
      <w:spacing w:before="100" w:beforeAutospacing="1" w:after="100" w:afterAutospacing="1"/>
    </w:pPr>
    <w:rPr>
      <w:lang w:eastAsia="en-GB"/>
    </w:rPr>
  </w:style>
  <w:style w:type="paragraph" w:styleId="BodyText">
    <w:name w:val="Body Text"/>
    <w:basedOn w:val="Normal"/>
    <w:link w:val="BodyTextChar"/>
    <w:uiPriority w:val="99"/>
    <w:rsid w:val="004B7FB9"/>
    <w:pPr>
      <w:spacing w:after="120"/>
    </w:pPr>
  </w:style>
  <w:style w:type="character" w:customStyle="1" w:styleId="BodyTextChar">
    <w:name w:val="Body Text Char"/>
    <w:basedOn w:val="DefaultParagraphFont"/>
    <w:link w:val="BodyText"/>
    <w:uiPriority w:val="99"/>
    <w:semiHidden/>
    <w:locked/>
    <w:rsid w:val="00DB1BE6"/>
    <w:rPr>
      <w:rFonts w:cs="Times New Roman"/>
      <w:sz w:val="24"/>
      <w:szCs w:val="24"/>
      <w:lang w:eastAsia="en-US"/>
    </w:rPr>
  </w:style>
  <w:style w:type="character" w:styleId="Hyperlink">
    <w:name w:val="Hyperlink"/>
    <w:basedOn w:val="DefaultParagraphFont"/>
    <w:uiPriority w:val="99"/>
    <w:rsid w:val="000061D9"/>
    <w:rPr>
      <w:rFonts w:cs="Times New Roman"/>
      <w:color w:val="0000FF"/>
      <w:u w:val="single"/>
    </w:rPr>
  </w:style>
  <w:style w:type="paragraph" w:customStyle="1" w:styleId="Contact">
    <w:name w:val="Contact"/>
    <w:basedOn w:val="Footer"/>
    <w:uiPriority w:val="99"/>
    <w:rsid w:val="000061D9"/>
    <w:pPr>
      <w:widowControl w:val="0"/>
      <w:tabs>
        <w:tab w:val="clear" w:pos="4153"/>
        <w:tab w:val="clear" w:pos="8306"/>
      </w:tabs>
      <w:ind w:firstLine="4230"/>
      <w:jc w:val="both"/>
    </w:pPr>
    <w:rPr>
      <w:rFonts w:ascii="Helvetica 45 Light" w:hAnsi="Helvetica 45 Light" w:cs="Arial"/>
      <w:sz w:val="20"/>
      <w:szCs w:val="20"/>
      <w:lang w:eastAsia="en-GB"/>
    </w:rPr>
  </w:style>
  <w:style w:type="paragraph" w:customStyle="1" w:styleId="PressInformation">
    <w:name w:val="PressInformation"/>
    <w:basedOn w:val="Normal"/>
    <w:uiPriority w:val="99"/>
    <w:rsid w:val="000061D9"/>
    <w:pPr>
      <w:widowControl w:val="0"/>
    </w:pPr>
    <w:rPr>
      <w:rFonts w:ascii="Arial" w:hAnsi="Arial" w:cs="Arial"/>
      <w:b/>
      <w:bCs/>
      <w:sz w:val="28"/>
      <w:szCs w:val="28"/>
      <w:lang w:eastAsia="en-GB"/>
    </w:rPr>
  </w:style>
  <w:style w:type="paragraph" w:styleId="Footer">
    <w:name w:val="footer"/>
    <w:basedOn w:val="Normal"/>
    <w:link w:val="FooterChar"/>
    <w:uiPriority w:val="99"/>
    <w:rsid w:val="000061D9"/>
    <w:pPr>
      <w:tabs>
        <w:tab w:val="center" w:pos="4153"/>
        <w:tab w:val="right" w:pos="8306"/>
      </w:tabs>
    </w:pPr>
  </w:style>
  <w:style w:type="character" w:customStyle="1" w:styleId="FooterChar">
    <w:name w:val="Footer Char"/>
    <w:basedOn w:val="DefaultParagraphFont"/>
    <w:link w:val="Footer"/>
    <w:uiPriority w:val="99"/>
    <w:semiHidden/>
    <w:locked/>
    <w:rsid w:val="00DB1BE6"/>
    <w:rPr>
      <w:rFonts w:cs="Times New Roman"/>
      <w:sz w:val="24"/>
      <w:szCs w:val="24"/>
      <w:lang w:eastAsia="en-US"/>
    </w:rPr>
  </w:style>
  <w:style w:type="table" w:styleId="TableGrid">
    <w:name w:val="Table Grid"/>
    <w:basedOn w:val="TableNormal"/>
    <w:uiPriority w:val="99"/>
    <w:rsid w:val="003348C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CC54C3"/>
    <w:pPr>
      <w:ind w:left="720"/>
      <w:contextualSpacing/>
    </w:pPr>
    <w:rPr>
      <w:lang w:val="en-US"/>
    </w:rPr>
  </w:style>
  <w:style w:type="paragraph" w:styleId="FootnoteText">
    <w:name w:val="footnote text"/>
    <w:basedOn w:val="Normal"/>
    <w:link w:val="FootnoteTextChar"/>
    <w:uiPriority w:val="99"/>
    <w:rsid w:val="00CC54C3"/>
  </w:style>
  <w:style w:type="character" w:customStyle="1" w:styleId="FootnoteTextChar">
    <w:name w:val="Footnote Text Char"/>
    <w:basedOn w:val="DefaultParagraphFont"/>
    <w:link w:val="FootnoteText"/>
    <w:uiPriority w:val="99"/>
    <w:locked/>
    <w:rsid w:val="00CC54C3"/>
    <w:rPr>
      <w:rFonts w:cs="Times New Roman"/>
      <w:sz w:val="24"/>
      <w:lang w:val="en-GB" w:eastAsia="en-US"/>
    </w:rPr>
  </w:style>
  <w:style w:type="character" w:styleId="FootnoteReference">
    <w:name w:val="footnote reference"/>
    <w:basedOn w:val="DefaultParagraphFont"/>
    <w:uiPriority w:val="99"/>
    <w:rsid w:val="00CC54C3"/>
    <w:rPr>
      <w:rFonts w:cs="Times New Roman"/>
      <w:vertAlign w:val="superscript"/>
    </w:rPr>
  </w:style>
  <w:style w:type="paragraph" w:styleId="Caption">
    <w:name w:val="caption"/>
    <w:basedOn w:val="Normal"/>
    <w:next w:val="Normal"/>
    <w:uiPriority w:val="99"/>
    <w:qFormat/>
    <w:rsid w:val="00FF7B3A"/>
    <w:rPr>
      <w:b/>
      <w:bCs/>
      <w:sz w:val="20"/>
      <w:szCs w:val="20"/>
    </w:rPr>
  </w:style>
  <w:style w:type="character" w:styleId="CommentReference">
    <w:name w:val="annotation reference"/>
    <w:basedOn w:val="DefaultParagraphFont"/>
    <w:uiPriority w:val="99"/>
    <w:semiHidden/>
    <w:rsid w:val="006445AF"/>
    <w:rPr>
      <w:rFonts w:cs="Times New Roman"/>
      <w:sz w:val="16"/>
    </w:rPr>
  </w:style>
  <w:style w:type="paragraph" w:styleId="CommentText">
    <w:name w:val="annotation text"/>
    <w:basedOn w:val="Normal"/>
    <w:link w:val="CommentTextChar"/>
    <w:uiPriority w:val="99"/>
    <w:semiHidden/>
    <w:rsid w:val="006445AF"/>
    <w:rPr>
      <w:sz w:val="20"/>
      <w:szCs w:val="20"/>
    </w:rPr>
  </w:style>
  <w:style w:type="character" w:customStyle="1" w:styleId="CommentTextChar">
    <w:name w:val="Comment Text Char"/>
    <w:basedOn w:val="DefaultParagraphFont"/>
    <w:link w:val="CommentText"/>
    <w:uiPriority w:val="99"/>
    <w:semiHidden/>
    <w:locked/>
    <w:rsid w:val="00DB1BE6"/>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6445AF"/>
    <w:rPr>
      <w:b/>
      <w:bCs/>
    </w:rPr>
  </w:style>
  <w:style w:type="character" w:customStyle="1" w:styleId="CommentSubjectChar">
    <w:name w:val="Comment Subject Char"/>
    <w:basedOn w:val="CommentTextChar"/>
    <w:link w:val="CommentSubject"/>
    <w:uiPriority w:val="99"/>
    <w:semiHidden/>
    <w:locked/>
    <w:rsid w:val="00DB1BE6"/>
    <w:rPr>
      <w:b/>
      <w:bCs/>
    </w:rPr>
  </w:style>
  <w:style w:type="paragraph" w:styleId="Revision">
    <w:name w:val="Revision"/>
    <w:hidden/>
    <w:uiPriority w:val="99"/>
    <w:semiHidden/>
    <w:rsid w:val="00427D6C"/>
    <w:rPr>
      <w:sz w:val="24"/>
      <w:szCs w:val="24"/>
      <w:lang w:val="en-GB"/>
    </w:rPr>
  </w:style>
  <w:style w:type="paragraph" w:styleId="EndnoteText">
    <w:name w:val="endnote text"/>
    <w:basedOn w:val="Normal"/>
    <w:link w:val="EndnoteTextChar"/>
    <w:uiPriority w:val="99"/>
    <w:rsid w:val="00DC5179"/>
    <w:rPr>
      <w:sz w:val="20"/>
      <w:szCs w:val="20"/>
    </w:rPr>
  </w:style>
  <w:style w:type="character" w:customStyle="1" w:styleId="EndnoteTextChar">
    <w:name w:val="Endnote Text Char"/>
    <w:basedOn w:val="DefaultParagraphFont"/>
    <w:link w:val="EndnoteText"/>
    <w:uiPriority w:val="99"/>
    <w:locked/>
    <w:rsid w:val="00DC5179"/>
    <w:rPr>
      <w:rFonts w:cs="Times New Roman"/>
      <w:lang w:eastAsia="en-US"/>
    </w:rPr>
  </w:style>
  <w:style w:type="character" w:styleId="EndnoteReference">
    <w:name w:val="endnote reference"/>
    <w:basedOn w:val="DefaultParagraphFont"/>
    <w:uiPriority w:val="99"/>
    <w:rsid w:val="00DC5179"/>
    <w:rPr>
      <w:rFonts w:cs="Times New Roman"/>
      <w:vertAlign w:val="superscript"/>
    </w:rPr>
  </w:style>
  <w:style w:type="paragraph" w:customStyle="1" w:styleId="PressRelease">
    <w:name w:val="Press Release"/>
    <w:basedOn w:val="Heading1"/>
    <w:uiPriority w:val="99"/>
    <w:rsid w:val="007C1023"/>
    <w:pPr>
      <w:spacing w:before="240" w:after="60"/>
      <w:jc w:val="left"/>
    </w:pPr>
    <w:rPr>
      <w:kern w:val="32"/>
      <w:sz w:val="36"/>
      <w:szCs w:val="32"/>
    </w:rPr>
  </w:style>
  <w:style w:type="character" w:styleId="PageNumber">
    <w:name w:val="page number"/>
    <w:basedOn w:val="DefaultParagraphFont"/>
    <w:uiPriority w:val="99"/>
    <w:rsid w:val="007C1023"/>
    <w:rPr>
      <w:rFonts w:cs="Times New Roman"/>
    </w:rPr>
  </w:style>
  <w:style w:type="paragraph" w:styleId="Header">
    <w:name w:val="header"/>
    <w:basedOn w:val="Normal"/>
    <w:link w:val="HeaderChar"/>
    <w:uiPriority w:val="99"/>
    <w:rsid w:val="007C1023"/>
    <w:pPr>
      <w:tabs>
        <w:tab w:val="center" w:pos="4320"/>
        <w:tab w:val="right" w:pos="8640"/>
      </w:tabs>
    </w:pPr>
  </w:style>
  <w:style w:type="character" w:customStyle="1" w:styleId="HeaderChar">
    <w:name w:val="Header Char"/>
    <w:basedOn w:val="DefaultParagraphFont"/>
    <w:link w:val="Header"/>
    <w:uiPriority w:val="99"/>
    <w:semiHidden/>
    <w:locked/>
    <w:rsid w:val="00DB1BE6"/>
    <w:rPr>
      <w:rFonts w:cs="Times New Roman"/>
      <w:sz w:val="24"/>
      <w:szCs w:val="24"/>
      <w:lang w:eastAsia="en-US"/>
    </w:rPr>
  </w:style>
</w:styles>
</file>

<file path=word/webSettings.xml><?xml version="1.0" encoding="utf-8"?>
<w:webSettings xmlns:r="http://schemas.openxmlformats.org/officeDocument/2006/relationships" xmlns:w="http://schemas.openxmlformats.org/wordprocessingml/2006/main">
  <w:divs>
    <w:div w:id="700133062">
      <w:marLeft w:val="0"/>
      <w:marRight w:val="0"/>
      <w:marTop w:val="0"/>
      <w:marBottom w:val="0"/>
      <w:divBdr>
        <w:top w:val="none" w:sz="0" w:space="0" w:color="auto"/>
        <w:left w:val="none" w:sz="0" w:space="0" w:color="auto"/>
        <w:bottom w:val="none" w:sz="0" w:space="0" w:color="auto"/>
        <w:right w:val="none" w:sz="0" w:space="0" w:color="auto"/>
      </w:divBdr>
      <w:divsChild>
        <w:div w:id="700133085">
          <w:marLeft w:val="0"/>
          <w:marRight w:val="0"/>
          <w:marTop w:val="0"/>
          <w:marBottom w:val="0"/>
          <w:divBdr>
            <w:top w:val="none" w:sz="0" w:space="0" w:color="auto"/>
            <w:left w:val="none" w:sz="0" w:space="0" w:color="auto"/>
            <w:bottom w:val="none" w:sz="0" w:space="0" w:color="auto"/>
            <w:right w:val="none" w:sz="0" w:space="0" w:color="auto"/>
          </w:divBdr>
        </w:div>
      </w:divsChild>
    </w:div>
    <w:div w:id="700133064">
      <w:marLeft w:val="0"/>
      <w:marRight w:val="0"/>
      <w:marTop w:val="0"/>
      <w:marBottom w:val="0"/>
      <w:divBdr>
        <w:top w:val="none" w:sz="0" w:space="0" w:color="auto"/>
        <w:left w:val="none" w:sz="0" w:space="0" w:color="auto"/>
        <w:bottom w:val="none" w:sz="0" w:space="0" w:color="auto"/>
        <w:right w:val="none" w:sz="0" w:space="0" w:color="auto"/>
      </w:divBdr>
    </w:div>
    <w:div w:id="700133066">
      <w:marLeft w:val="0"/>
      <w:marRight w:val="0"/>
      <w:marTop w:val="0"/>
      <w:marBottom w:val="0"/>
      <w:divBdr>
        <w:top w:val="none" w:sz="0" w:space="0" w:color="auto"/>
        <w:left w:val="none" w:sz="0" w:space="0" w:color="auto"/>
        <w:bottom w:val="none" w:sz="0" w:space="0" w:color="auto"/>
        <w:right w:val="none" w:sz="0" w:space="0" w:color="auto"/>
      </w:divBdr>
    </w:div>
    <w:div w:id="700133068">
      <w:marLeft w:val="0"/>
      <w:marRight w:val="0"/>
      <w:marTop w:val="0"/>
      <w:marBottom w:val="0"/>
      <w:divBdr>
        <w:top w:val="none" w:sz="0" w:space="0" w:color="auto"/>
        <w:left w:val="none" w:sz="0" w:space="0" w:color="auto"/>
        <w:bottom w:val="none" w:sz="0" w:space="0" w:color="auto"/>
        <w:right w:val="none" w:sz="0" w:space="0" w:color="auto"/>
      </w:divBdr>
    </w:div>
    <w:div w:id="700133072">
      <w:marLeft w:val="0"/>
      <w:marRight w:val="0"/>
      <w:marTop w:val="0"/>
      <w:marBottom w:val="0"/>
      <w:divBdr>
        <w:top w:val="none" w:sz="0" w:space="0" w:color="auto"/>
        <w:left w:val="none" w:sz="0" w:space="0" w:color="auto"/>
        <w:bottom w:val="none" w:sz="0" w:space="0" w:color="auto"/>
        <w:right w:val="none" w:sz="0" w:space="0" w:color="auto"/>
      </w:divBdr>
      <w:divsChild>
        <w:div w:id="700133086">
          <w:marLeft w:val="0"/>
          <w:marRight w:val="0"/>
          <w:marTop w:val="0"/>
          <w:marBottom w:val="0"/>
          <w:divBdr>
            <w:top w:val="none" w:sz="0" w:space="0" w:color="auto"/>
            <w:left w:val="none" w:sz="0" w:space="0" w:color="auto"/>
            <w:bottom w:val="none" w:sz="0" w:space="0" w:color="auto"/>
            <w:right w:val="none" w:sz="0" w:space="0" w:color="auto"/>
          </w:divBdr>
          <w:divsChild>
            <w:div w:id="700133063">
              <w:marLeft w:val="0"/>
              <w:marRight w:val="0"/>
              <w:marTop w:val="0"/>
              <w:marBottom w:val="0"/>
              <w:divBdr>
                <w:top w:val="none" w:sz="0" w:space="0" w:color="auto"/>
                <w:left w:val="none" w:sz="0" w:space="0" w:color="auto"/>
                <w:bottom w:val="none" w:sz="0" w:space="0" w:color="auto"/>
                <w:right w:val="none" w:sz="0" w:space="0" w:color="auto"/>
              </w:divBdr>
            </w:div>
            <w:div w:id="70013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133073">
      <w:marLeft w:val="0"/>
      <w:marRight w:val="0"/>
      <w:marTop w:val="0"/>
      <w:marBottom w:val="0"/>
      <w:divBdr>
        <w:top w:val="none" w:sz="0" w:space="0" w:color="auto"/>
        <w:left w:val="none" w:sz="0" w:space="0" w:color="auto"/>
        <w:bottom w:val="none" w:sz="0" w:space="0" w:color="auto"/>
        <w:right w:val="none" w:sz="0" w:space="0" w:color="auto"/>
      </w:divBdr>
      <w:divsChild>
        <w:div w:id="700133071">
          <w:marLeft w:val="0"/>
          <w:marRight w:val="0"/>
          <w:marTop w:val="0"/>
          <w:marBottom w:val="0"/>
          <w:divBdr>
            <w:top w:val="none" w:sz="0" w:space="0" w:color="auto"/>
            <w:left w:val="none" w:sz="0" w:space="0" w:color="auto"/>
            <w:bottom w:val="none" w:sz="0" w:space="0" w:color="auto"/>
            <w:right w:val="none" w:sz="0" w:space="0" w:color="auto"/>
          </w:divBdr>
          <w:divsChild>
            <w:div w:id="700133077">
              <w:marLeft w:val="0"/>
              <w:marRight w:val="0"/>
              <w:marTop w:val="0"/>
              <w:marBottom w:val="0"/>
              <w:divBdr>
                <w:top w:val="none" w:sz="0" w:space="0" w:color="auto"/>
                <w:left w:val="none" w:sz="0" w:space="0" w:color="auto"/>
                <w:bottom w:val="none" w:sz="0" w:space="0" w:color="auto"/>
                <w:right w:val="none" w:sz="0" w:space="0" w:color="auto"/>
              </w:divBdr>
            </w:div>
            <w:div w:id="700133078">
              <w:marLeft w:val="0"/>
              <w:marRight w:val="0"/>
              <w:marTop w:val="0"/>
              <w:marBottom w:val="0"/>
              <w:divBdr>
                <w:top w:val="none" w:sz="0" w:space="0" w:color="auto"/>
                <w:left w:val="none" w:sz="0" w:space="0" w:color="auto"/>
                <w:bottom w:val="none" w:sz="0" w:space="0" w:color="auto"/>
                <w:right w:val="none" w:sz="0" w:space="0" w:color="auto"/>
              </w:divBdr>
            </w:div>
            <w:div w:id="700133080">
              <w:marLeft w:val="0"/>
              <w:marRight w:val="0"/>
              <w:marTop w:val="0"/>
              <w:marBottom w:val="0"/>
              <w:divBdr>
                <w:top w:val="none" w:sz="0" w:space="0" w:color="auto"/>
                <w:left w:val="none" w:sz="0" w:space="0" w:color="auto"/>
                <w:bottom w:val="none" w:sz="0" w:space="0" w:color="auto"/>
                <w:right w:val="none" w:sz="0" w:space="0" w:color="auto"/>
              </w:divBdr>
            </w:div>
            <w:div w:id="700133088">
              <w:marLeft w:val="0"/>
              <w:marRight w:val="0"/>
              <w:marTop w:val="0"/>
              <w:marBottom w:val="0"/>
              <w:divBdr>
                <w:top w:val="none" w:sz="0" w:space="0" w:color="auto"/>
                <w:left w:val="none" w:sz="0" w:space="0" w:color="auto"/>
                <w:bottom w:val="none" w:sz="0" w:space="0" w:color="auto"/>
                <w:right w:val="none" w:sz="0" w:space="0" w:color="auto"/>
              </w:divBdr>
            </w:div>
            <w:div w:id="700133089">
              <w:marLeft w:val="0"/>
              <w:marRight w:val="0"/>
              <w:marTop w:val="0"/>
              <w:marBottom w:val="0"/>
              <w:divBdr>
                <w:top w:val="none" w:sz="0" w:space="0" w:color="auto"/>
                <w:left w:val="none" w:sz="0" w:space="0" w:color="auto"/>
                <w:bottom w:val="none" w:sz="0" w:space="0" w:color="auto"/>
                <w:right w:val="none" w:sz="0" w:space="0" w:color="auto"/>
              </w:divBdr>
            </w:div>
            <w:div w:id="70013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133074">
      <w:marLeft w:val="0"/>
      <w:marRight w:val="0"/>
      <w:marTop w:val="0"/>
      <w:marBottom w:val="0"/>
      <w:divBdr>
        <w:top w:val="none" w:sz="0" w:space="0" w:color="auto"/>
        <w:left w:val="none" w:sz="0" w:space="0" w:color="auto"/>
        <w:bottom w:val="none" w:sz="0" w:space="0" w:color="auto"/>
        <w:right w:val="none" w:sz="0" w:space="0" w:color="auto"/>
      </w:divBdr>
    </w:div>
    <w:div w:id="700133075">
      <w:marLeft w:val="0"/>
      <w:marRight w:val="0"/>
      <w:marTop w:val="0"/>
      <w:marBottom w:val="0"/>
      <w:divBdr>
        <w:top w:val="none" w:sz="0" w:space="0" w:color="auto"/>
        <w:left w:val="none" w:sz="0" w:space="0" w:color="auto"/>
        <w:bottom w:val="none" w:sz="0" w:space="0" w:color="auto"/>
        <w:right w:val="none" w:sz="0" w:space="0" w:color="auto"/>
      </w:divBdr>
      <w:divsChild>
        <w:div w:id="700133093">
          <w:marLeft w:val="0"/>
          <w:marRight w:val="0"/>
          <w:marTop w:val="0"/>
          <w:marBottom w:val="0"/>
          <w:divBdr>
            <w:top w:val="none" w:sz="0" w:space="0" w:color="auto"/>
            <w:left w:val="none" w:sz="0" w:space="0" w:color="auto"/>
            <w:bottom w:val="none" w:sz="0" w:space="0" w:color="auto"/>
            <w:right w:val="none" w:sz="0" w:space="0" w:color="auto"/>
          </w:divBdr>
          <w:divsChild>
            <w:div w:id="700133065">
              <w:marLeft w:val="0"/>
              <w:marRight w:val="0"/>
              <w:marTop w:val="0"/>
              <w:marBottom w:val="0"/>
              <w:divBdr>
                <w:top w:val="none" w:sz="0" w:space="0" w:color="auto"/>
                <w:left w:val="none" w:sz="0" w:space="0" w:color="auto"/>
                <w:bottom w:val="none" w:sz="0" w:space="0" w:color="auto"/>
                <w:right w:val="none" w:sz="0" w:space="0" w:color="auto"/>
              </w:divBdr>
            </w:div>
            <w:div w:id="700133070">
              <w:marLeft w:val="0"/>
              <w:marRight w:val="0"/>
              <w:marTop w:val="0"/>
              <w:marBottom w:val="0"/>
              <w:divBdr>
                <w:top w:val="none" w:sz="0" w:space="0" w:color="auto"/>
                <w:left w:val="none" w:sz="0" w:space="0" w:color="auto"/>
                <w:bottom w:val="none" w:sz="0" w:space="0" w:color="auto"/>
                <w:right w:val="none" w:sz="0" w:space="0" w:color="auto"/>
              </w:divBdr>
            </w:div>
            <w:div w:id="700133079">
              <w:marLeft w:val="0"/>
              <w:marRight w:val="0"/>
              <w:marTop w:val="0"/>
              <w:marBottom w:val="0"/>
              <w:divBdr>
                <w:top w:val="none" w:sz="0" w:space="0" w:color="auto"/>
                <w:left w:val="none" w:sz="0" w:space="0" w:color="auto"/>
                <w:bottom w:val="none" w:sz="0" w:space="0" w:color="auto"/>
                <w:right w:val="none" w:sz="0" w:space="0" w:color="auto"/>
              </w:divBdr>
            </w:div>
            <w:div w:id="700133083">
              <w:marLeft w:val="0"/>
              <w:marRight w:val="0"/>
              <w:marTop w:val="0"/>
              <w:marBottom w:val="0"/>
              <w:divBdr>
                <w:top w:val="none" w:sz="0" w:space="0" w:color="auto"/>
                <w:left w:val="none" w:sz="0" w:space="0" w:color="auto"/>
                <w:bottom w:val="none" w:sz="0" w:space="0" w:color="auto"/>
                <w:right w:val="none" w:sz="0" w:space="0" w:color="auto"/>
              </w:divBdr>
            </w:div>
            <w:div w:id="700133087">
              <w:marLeft w:val="0"/>
              <w:marRight w:val="0"/>
              <w:marTop w:val="0"/>
              <w:marBottom w:val="0"/>
              <w:divBdr>
                <w:top w:val="none" w:sz="0" w:space="0" w:color="auto"/>
                <w:left w:val="none" w:sz="0" w:space="0" w:color="auto"/>
                <w:bottom w:val="none" w:sz="0" w:space="0" w:color="auto"/>
                <w:right w:val="none" w:sz="0" w:space="0" w:color="auto"/>
              </w:divBdr>
            </w:div>
            <w:div w:id="70013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133076">
      <w:marLeft w:val="0"/>
      <w:marRight w:val="0"/>
      <w:marTop w:val="0"/>
      <w:marBottom w:val="0"/>
      <w:divBdr>
        <w:top w:val="none" w:sz="0" w:space="0" w:color="auto"/>
        <w:left w:val="none" w:sz="0" w:space="0" w:color="auto"/>
        <w:bottom w:val="none" w:sz="0" w:space="0" w:color="auto"/>
        <w:right w:val="none" w:sz="0" w:space="0" w:color="auto"/>
      </w:divBdr>
      <w:divsChild>
        <w:div w:id="700133103">
          <w:marLeft w:val="0"/>
          <w:marRight w:val="0"/>
          <w:marTop w:val="0"/>
          <w:marBottom w:val="0"/>
          <w:divBdr>
            <w:top w:val="none" w:sz="0" w:space="0" w:color="auto"/>
            <w:left w:val="none" w:sz="0" w:space="0" w:color="auto"/>
            <w:bottom w:val="none" w:sz="0" w:space="0" w:color="auto"/>
            <w:right w:val="none" w:sz="0" w:space="0" w:color="auto"/>
          </w:divBdr>
        </w:div>
      </w:divsChild>
    </w:div>
    <w:div w:id="700133081">
      <w:marLeft w:val="0"/>
      <w:marRight w:val="0"/>
      <w:marTop w:val="0"/>
      <w:marBottom w:val="0"/>
      <w:divBdr>
        <w:top w:val="none" w:sz="0" w:space="0" w:color="auto"/>
        <w:left w:val="none" w:sz="0" w:space="0" w:color="auto"/>
        <w:bottom w:val="none" w:sz="0" w:space="0" w:color="auto"/>
        <w:right w:val="none" w:sz="0" w:space="0" w:color="auto"/>
      </w:divBdr>
    </w:div>
    <w:div w:id="700133084">
      <w:marLeft w:val="0"/>
      <w:marRight w:val="0"/>
      <w:marTop w:val="0"/>
      <w:marBottom w:val="0"/>
      <w:divBdr>
        <w:top w:val="none" w:sz="0" w:space="0" w:color="auto"/>
        <w:left w:val="none" w:sz="0" w:space="0" w:color="auto"/>
        <w:bottom w:val="none" w:sz="0" w:space="0" w:color="auto"/>
        <w:right w:val="none" w:sz="0" w:space="0" w:color="auto"/>
      </w:divBdr>
      <w:divsChild>
        <w:div w:id="700133082">
          <w:marLeft w:val="0"/>
          <w:marRight w:val="0"/>
          <w:marTop w:val="0"/>
          <w:marBottom w:val="0"/>
          <w:divBdr>
            <w:top w:val="none" w:sz="0" w:space="0" w:color="auto"/>
            <w:left w:val="none" w:sz="0" w:space="0" w:color="auto"/>
            <w:bottom w:val="none" w:sz="0" w:space="0" w:color="auto"/>
            <w:right w:val="none" w:sz="0" w:space="0" w:color="auto"/>
          </w:divBdr>
        </w:div>
      </w:divsChild>
    </w:div>
    <w:div w:id="700133090">
      <w:marLeft w:val="0"/>
      <w:marRight w:val="0"/>
      <w:marTop w:val="0"/>
      <w:marBottom w:val="0"/>
      <w:divBdr>
        <w:top w:val="none" w:sz="0" w:space="0" w:color="auto"/>
        <w:left w:val="none" w:sz="0" w:space="0" w:color="auto"/>
        <w:bottom w:val="none" w:sz="0" w:space="0" w:color="auto"/>
        <w:right w:val="none" w:sz="0" w:space="0" w:color="auto"/>
      </w:divBdr>
    </w:div>
    <w:div w:id="700133092">
      <w:marLeft w:val="0"/>
      <w:marRight w:val="0"/>
      <w:marTop w:val="0"/>
      <w:marBottom w:val="0"/>
      <w:divBdr>
        <w:top w:val="none" w:sz="0" w:space="0" w:color="auto"/>
        <w:left w:val="none" w:sz="0" w:space="0" w:color="auto"/>
        <w:bottom w:val="none" w:sz="0" w:space="0" w:color="auto"/>
        <w:right w:val="none" w:sz="0" w:space="0" w:color="auto"/>
      </w:divBdr>
    </w:div>
    <w:div w:id="700133094">
      <w:marLeft w:val="0"/>
      <w:marRight w:val="0"/>
      <w:marTop w:val="0"/>
      <w:marBottom w:val="0"/>
      <w:divBdr>
        <w:top w:val="none" w:sz="0" w:space="0" w:color="auto"/>
        <w:left w:val="none" w:sz="0" w:space="0" w:color="auto"/>
        <w:bottom w:val="none" w:sz="0" w:space="0" w:color="auto"/>
        <w:right w:val="none" w:sz="0" w:space="0" w:color="auto"/>
      </w:divBdr>
    </w:div>
    <w:div w:id="700133095">
      <w:marLeft w:val="0"/>
      <w:marRight w:val="0"/>
      <w:marTop w:val="0"/>
      <w:marBottom w:val="0"/>
      <w:divBdr>
        <w:top w:val="none" w:sz="0" w:space="0" w:color="auto"/>
        <w:left w:val="none" w:sz="0" w:space="0" w:color="auto"/>
        <w:bottom w:val="none" w:sz="0" w:space="0" w:color="auto"/>
        <w:right w:val="none" w:sz="0" w:space="0" w:color="auto"/>
      </w:divBdr>
    </w:div>
    <w:div w:id="700133096">
      <w:marLeft w:val="0"/>
      <w:marRight w:val="0"/>
      <w:marTop w:val="0"/>
      <w:marBottom w:val="0"/>
      <w:divBdr>
        <w:top w:val="none" w:sz="0" w:space="0" w:color="auto"/>
        <w:left w:val="none" w:sz="0" w:space="0" w:color="auto"/>
        <w:bottom w:val="none" w:sz="0" w:space="0" w:color="auto"/>
        <w:right w:val="none" w:sz="0" w:space="0" w:color="auto"/>
      </w:divBdr>
    </w:div>
    <w:div w:id="700133097">
      <w:marLeft w:val="0"/>
      <w:marRight w:val="0"/>
      <w:marTop w:val="0"/>
      <w:marBottom w:val="0"/>
      <w:divBdr>
        <w:top w:val="none" w:sz="0" w:space="0" w:color="auto"/>
        <w:left w:val="none" w:sz="0" w:space="0" w:color="auto"/>
        <w:bottom w:val="none" w:sz="0" w:space="0" w:color="auto"/>
        <w:right w:val="none" w:sz="0" w:space="0" w:color="auto"/>
      </w:divBdr>
    </w:div>
    <w:div w:id="700133099">
      <w:marLeft w:val="0"/>
      <w:marRight w:val="0"/>
      <w:marTop w:val="0"/>
      <w:marBottom w:val="0"/>
      <w:divBdr>
        <w:top w:val="none" w:sz="0" w:space="0" w:color="auto"/>
        <w:left w:val="none" w:sz="0" w:space="0" w:color="auto"/>
        <w:bottom w:val="none" w:sz="0" w:space="0" w:color="auto"/>
        <w:right w:val="none" w:sz="0" w:space="0" w:color="auto"/>
      </w:divBdr>
      <w:divsChild>
        <w:div w:id="700133106">
          <w:marLeft w:val="0"/>
          <w:marRight w:val="0"/>
          <w:marTop w:val="0"/>
          <w:marBottom w:val="0"/>
          <w:divBdr>
            <w:top w:val="none" w:sz="0" w:space="0" w:color="auto"/>
            <w:left w:val="none" w:sz="0" w:space="0" w:color="auto"/>
            <w:bottom w:val="none" w:sz="0" w:space="0" w:color="auto"/>
            <w:right w:val="none" w:sz="0" w:space="0" w:color="auto"/>
          </w:divBdr>
        </w:div>
      </w:divsChild>
    </w:div>
    <w:div w:id="700133100">
      <w:marLeft w:val="0"/>
      <w:marRight w:val="0"/>
      <w:marTop w:val="0"/>
      <w:marBottom w:val="0"/>
      <w:divBdr>
        <w:top w:val="none" w:sz="0" w:space="0" w:color="auto"/>
        <w:left w:val="none" w:sz="0" w:space="0" w:color="auto"/>
        <w:bottom w:val="none" w:sz="0" w:space="0" w:color="auto"/>
        <w:right w:val="none" w:sz="0" w:space="0" w:color="auto"/>
      </w:divBdr>
    </w:div>
    <w:div w:id="700133101">
      <w:marLeft w:val="0"/>
      <w:marRight w:val="0"/>
      <w:marTop w:val="0"/>
      <w:marBottom w:val="0"/>
      <w:divBdr>
        <w:top w:val="none" w:sz="0" w:space="0" w:color="auto"/>
        <w:left w:val="none" w:sz="0" w:space="0" w:color="auto"/>
        <w:bottom w:val="none" w:sz="0" w:space="0" w:color="auto"/>
        <w:right w:val="none" w:sz="0" w:space="0" w:color="auto"/>
      </w:divBdr>
      <w:divsChild>
        <w:div w:id="700133069">
          <w:marLeft w:val="0"/>
          <w:marRight w:val="0"/>
          <w:marTop w:val="0"/>
          <w:marBottom w:val="0"/>
          <w:divBdr>
            <w:top w:val="none" w:sz="0" w:space="0" w:color="auto"/>
            <w:left w:val="none" w:sz="0" w:space="0" w:color="auto"/>
            <w:bottom w:val="none" w:sz="0" w:space="0" w:color="auto"/>
            <w:right w:val="none" w:sz="0" w:space="0" w:color="auto"/>
          </w:divBdr>
        </w:div>
      </w:divsChild>
    </w:div>
    <w:div w:id="700133102">
      <w:marLeft w:val="0"/>
      <w:marRight w:val="0"/>
      <w:marTop w:val="0"/>
      <w:marBottom w:val="0"/>
      <w:divBdr>
        <w:top w:val="none" w:sz="0" w:space="0" w:color="auto"/>
        <w:left w:val="none" w:sz="0" w:space="0" w:color="auto"/>
        <w:bottom w:val="none" w:sz="0" w:space="0" w:color="auto"/>
        <w:right w:val="none" w:sz="0" w:space="0" w:color="auto"/>
      </w:divBdr>
    </w:div>
    <w:div w:id="700133104">
      <w:marLeft w:val="0"/>
      <w:marRight w:val="0"/>
      <w:marTop w:val="0"/>
      <w:marBottom w:val="0"/>
      <w:divBdr>
        <w:top w:val="none" w:sz="0" w:space="0" w:color="auto"/>
        <w:left w:val="none" w:sz="0" w:space="0" w:color="auto"/>
        <w:bottom w:val="none" w:sz="0" w:space="0" w:color="auto"/>
        <w:right w:val="none" w:sz="0" w:space="0" w:color="auto"/>
      </w:divBdr>
    </w:div>
    <w:div w:id="700133105">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Pages>
  <Words>931</Words>
  <Characters>5309</Characters>
  <Application>Microsoft Office Outlook</Application>
  <DocSecurity>0</DocSecurity>
  <Lines>0</Lines>
  <Paragraphs>0</Paragraphs>
  <ScaleCrop>false</ScaleCrop>
  <Company>Goodyear Dunlop Europe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Premiere at IAA for Duraseal Mixed Service Tires</dc:title>
  <dc:subject/>
  <dc:creator>Jens Voelmicke</dc:creator>
  <cp:keywords/>
  <dc:description/>
  <cp:lastModifiedBy> </cp:lastModifiedBy>
  <cp:revision>2</cp:revision>
  <cp:lastPrinted>2011-11-21T16:20:00Z</cp:lastPrinted>
  <dcterms:created xsi:type="dcterms:W3CDTF">2011-11-30T12:10:00Z</dcterms:created>
  <dcterms:modified xsi:type="dcterms:W3CDTF">2011-11-30T12:10:00Z</dcterms:modified>
</cp:coreProperties>
</file>