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BC" w:rsidRPr="00DD17DD" w:rsidRDefault="000D60BC" w:rsidP="000061D9">
      <w:pPr>
        <w:pStyle w:val="PressInformation"/>
        <w:rPr>
          <w:lang w:val="da-DK"/>
        </w:rPr>
      </w:pPr>
      <w:r w:rsidRPr="00524968">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3.75pt;height:31.5pt;visibility:visible">
            <v:imagedata r:id="rId7" o:title=""/>
          </v:shape>
        </w:pict>
      </w:r>
    </w:p>
    <w:p w:rsidR="000D60BC" w:rsidRPr="00DD17DD" w:rsidRDefault="000D60BC" w:rsidP="007E617D">
      <w:pPr>
        <w:ind w:left="5760" w:right="-540"/>
        <w:rPr>
          <w:rFonts w:ascii="Arial" w:hAnsi="Arial" w:cs="Arial"/>
          <w:sz w:val="20"/>
          <w:szCs w:val="20"/>
          <w:u w:val="single"/>
          <w:lang w:val="da-DK" w:eastAsia="en-GB"/>
        </w:rPr>
      </w:pPr>
    </w:p>
    <w:p w:rsidR="000D60BC" w:rsidRPr="00926B82" w:rsidRDefault="000D60BC" w:rsidP="007E617D">
      <w:pPr>
        <w:ind w:left="5760" w:right="-540"/>
        <w:rPr>
          <w:rFonts w:ascii="Arial" w:hAnsi="Arial" w:cs="Arial"/>
          <w:sz w:val="22"/>
          <w:szCs w:val="22"/>
          <w:u w:val="single"/>
          <w:lang w:val="sv-SE"/>
        </w:rPr>
      </w:pPr>
      <w:r w:rsidRPr="00926B82">
        <w:rPr>
          <w:rFonts w:ascii="Arial" w:hAnsi="Arial" w:cs="Arial"/>
          <w:sz w:val="20"/>
          <w:szCs w:val="20"/>
          <w:u w:val="single"/>
          <w:lang w:val="sv-SE"/>
        </w:rPr>
        <w:t>Kontakt:</w:t>
      </w:r>
    </w:p>
    <w:p w:rsidR="000D60BC" w:rsidRPr="00926B82" w:rsidRDefault="000D60BC" w:rsidP="007E617D">
      <w:pPr>
        <w:ind w:left="5760" w:right="-540"/>
        <w:rPr>
          <w:rFonts w:ascii="Arial" w:hAnsi="Arial" w:cs="Arial"/>
          <w:sz w:val="20"/>
          <w:szCs w:val="20"/>
          <w:lang w:val="sv-SE"/>
        </w:rPr>
      </w:pPr>
      <w:r w:rsidRPr="00926B82">
        <w:rPr>
          <w:rFonts w:ascii="Arial" w:hAnsi="Arial" w:cs="Arial"/>
          <w:sz w:val="20"/>
          <w:szCs w:val="20"/>
          <w:lang w:val="sv-SE"/>
        </w:rPr>
        <w:t>Linda Brandelius</w:t>
      </w:r>
    </w:p>
    <w:p w:rsidR="000D60BC" w:rsidRPr="00926B82" w:rsidRDefault="000D60BC" w:rsidP="007E617D">
      <w:pPr>
        <w:ind w:left="5760" w:right="-540"/>
        <w:rPr>
          <w:rFonts w:ascii="Arial" w:hAnsi="Arial" w:cs="Arial"/>
          <w:sz w:val="20"/>
          <w:szCs w:val="20"/>
          <w:lang w:val="sv-SE" w:eastAsia="en-GB"/>
        </w:rPr>
      </w:pPr>
      <w:r w:rsidRPr="00926B82">
        <w:rPr>
          <w:rFonts w:ascii="Arial" w:hAnsi="Arial" w:cs="Arial"/>
          <w:sz w:val="20"/>
          <w:szCs w:val="20"/>
          <w:lang w:val="sv-SE"/>
        </w:rPr>
        <w:t>Linda_brandelius@goodyear.com</w:t>
      </w:r>
    </w:p>
    <w:p w:rsidR="000D60BC" w:rsidRPr="00DD17DD" w:rsidRDefault="000D60BC" w:rsidP="007E617D">
      <w:pPr>
        <w:pStyle w:val="PressRelease"/>
        <w:rPr>
          <w:lang w:val="da-DK"/>
        </w:rPr>
      </w:pPr>
      <w:r w:rsidRPr="00DD17DD">
        <w:rPr>
          <w:lang w:val="da-DK"/>
        </w:rPr>
        <w:t>PRESSEMEDDELELSE</w:t>
      </w:r>
    </w:p>
    <w:p w:rsidR="000D60BC" w:rsidRDefault="000D60BC" w:rsidP="00DC76A0">
      <w:pPr>
        <w:pStyle w:val="Title"/>
        <w:spacing w:line="360" w:lineRule="auto"/>
        <w:ind w:right="-360"/>
        <w:jc w:val="left"/>
        <w:rPr>
          <w:sz w:val="36"/>
          <w:szCs w:val="36"/>
          <w:lang w:val="da-DK"/>
        </w:rPr>
      </w:pPr>
      <w:bookmarkStart w:id="0" w:name="OLE_LINK39"/>
    </w:p>
    <w:p w:rsidR="000D60BC" w:rsidRPr="00926B82" w:rsidRDefault="000D60BC" w:rsidP="00DC76A0">
      <w:pPr>
        <w:pStyle w:val="Title"/>
        <w:spacing w:line="360" w:lineRule="auto"/>
        <w:ind w:right="-360"/>
        <w:jc w:val="left"/>
        <w:rPr>
          <w:sz w:val="36"/>
          <w:szCs w:val="36"/>
          <w:lang w:val="da-DK"/>
        </w:rPr>
      </w:pPr>
      <w:r w:rsidRPr="00DD17DD">
        <w:rPr>
          <w:sz w:val="36"/>
          <w:szCs w:val="36"/>
          <w:lang w:val="da-DK"/>
        </w:rPr>
        <w:t>Goodyear lancerer nye d</w:t>
      </w:r>
      <w:r>
        <w:rPr>
          <w:sz w:val="36"/>
          <w:szCs w:val="36"/>
          <w:lang w:val="da-DK"/>
        </w:rPr>
        <w:t xml:space="preserve">æk til </w:t>
      </w:r>
      <w:r w:rsidRPr="00926B82">
        <w:rPr>
          <w:sz w:val="36"/>
          <w:szCs w:val="36"/>
          <w:lang w:val="da-DK"/>
        </w:rPr>
        <w:t>nedbyggede trailere</w:t>
      </w:r>
    </w:p>
    <w:p w:rsidR="000D60BC" w:rsidRPr="00926B82" w:rsidRDefault="000D60BC" w:rsidP="00656A78">
      <w:pPr>
        <w:pStyle w:val="NormalWeb"/>
        <w:spacing w:before="0" w:beforeAutospacing="0" w:after="120" w:afterAutospacing="0" w:line="360" w:lineRule="auto"/>
        <w:jc w:val="both"/>
        <w:textAlignment w:val="baseline"/>
        <w:rPr>
          <w:rFonts w:ascii="Arial" w:hAnsi="Arial" w:cs="Arial"/>
          <w:b/>
          <w:sz w:val="22"/>
          <w:szCs w:val="22"/>
          <w:lang w:val="da-DK"/>
        </w:rPr>
      </w:pPr>
    </w:p>
    <w:p w:rsidR="000D60BC" w:rsidRPr="00926B82" w:rsidRDefault="000D60BC" w:rsidP="00656A78">
      <w:pPr>
        <w:pStyle w:val="NormalWeb"/>
        <w:spacing w:before="0" w:beforeAutospacing="0" w:after="120" w:afterAutospacing="0" w:line="360" w:lineRule="auto"/>
        <w:jc w:val="both"/>
        <w:textAlignment w:val="baseline"/>
        <w:rPr>
          <w:rFonts w:ascii="Arial" w:hAnsi="Arial" w:cs="Arial"/>
          <w:kern w:val="24"/>
          <w:sz w:val="22"/>
          <w:szCs w:val="22"/>
          <w:u w:val="single"/>
          <w:lang w:val="da-DK"/>
        </w:rPr>
      </w:pPr>
      <w:r w:rsidRPr="00926B82">
        <w:rPr>
          <w:rFonts w:ascii="Arial" w:hAnsi="Arial" w:cs="Arial"/>
          <w:b/>
          <w:sz w:val="22"/>
          <w:szCs w:val="22"/>
          <w:lang w:val="da-DK"/>
        </w:rPr>
        <w:t xml:space="preserve">Bruxelles, </w:t>
      </w:r>
      <w:r>
        <w:rPr>
          <w:rFonts w:ascii="Arial" w:hAnsi="Arial" w:cs="Arial"/>
          <w:b/>
          <w:sz w:val="22"/>
          <w:szCs w:val="22"/>
          <w:lang w:val="da-DK"/>
        </w:rPr>
        <w:t>30</w:t>
      </w:r>
      <w:r w:rsidRPr="00926B82">
        <w:rPr>
          <w:rFonts w:ascii="Arial" w:hAnsi="Arial" w:cs="Arial"/>
          <w:b/>
          <w:sz w:val="22"/>
          <w:szCs w:val="22"/>
          <w:lang w:val="da-DK"/>
        </w:rPr>
        <w:t>. november 2011</w:t>
      </w:r>
      <w:r w:rsidRPr="00926B82">
        <w:rPr>
          <w:rFonts w:ascii="Arial" w:hAnsi="Arial" w:cs="Arial"/>
          <w:sz w:val="22"/>
          <w:szCs w:val="22"/>
          <w:lang w:val="da-DK"/>
        </w:rPr>
        <w:t xml:space="preserve"> – Goodyear præsenterer den nye </w:t>
      </w:r>
      <w:r w:rsidRPr="00926B82">
        <w:rPr>
          <w:rFonts w:ascii="Arial" w:hAnsi="Arial" w:cs="Arial"/>
          <w:i/>
          <w:sz w:val="22"/>
          <w:szCs w:val="22"/>
          <w:lang w:val="da-DK"/>
        </w:rPr>
        <w:t>Regional RHT II-serie af</w:t>
      </w:r>
      <w:r w:rsidRPr="00926B82">
        <w:rPr>
          <w:rFonts w:ascii="Arial" w:hAnsi="Arial" w:cs="Arial"/>
          <w:sz w:val="22"/>
          <w:szCs w:val="22"/>
          <w:lang w:val="da-DK"/>
        </w:rPr>
        <w:t xml:space="preserve"> </w:t>
      </w:r>
      <w:r w:rsidRPr="00926B82">
        <w:rPr>
          <w:rFonts w:ascii="Arial" w:hAnsi="Arial" w:cs="Arial"/>
          <w:kern w:val="24"/>
          <w:sz w:val="22"/>
          <w:szCs w:val="22"/>
          <w:lang w:val="da-DK"/>
        </w:rPr>
        <w:t>19.5” og 17.5” dæk til nedbyggede trailere, f.eks. biltransporter i både langturs- og regionaltransport såvel som trailere til tung transport.  De nye dæk er udviklet til at levere et højt kilometertal og et fremragende vådgreb så vel som en lav rullemodstand. De overholder desuden kravene i den fremtidige EU-forordning 661/2009.</w:t>
      </w:r>
    </w:p>
    <w:p w:rsidR="000D60BC" w:rsidRPr="00DD17DD" w:rsidRDefault="000D60BC" w:rsidP="000E1485">
      <w:pPr>
        <w:pStyle w:val="NormalWeb"/>
        <w:spacing w:before="0" w:beforeAutospacing="0" w:after="120" w:afterAutospacing="0" w:line="360" w:lineRule="auto"/>
        <w:jc w:val="both"/>
        <w:textAlignment w:val="baseline"/>
        <w:rPr>
          <w:rFonts w:ascii="Arial" w:hAnsi="Arial" w:cs="Arial"/>
          <w:kern w:val="24"/>
          <w:sz w:val="22"/>
          <w:szCs w:val="22"/>
          <w:lang w:val="da-DK"/>
        </w:rPr>
      </w:pPr>
      <w:r>
        <w:rPr>
          <w:noProof/>
          <w:lang w:val="en-US" w:eastAsia="en-US"/>
        </w:rPr>
        <w:pict>
          <v:shape id="Picture 4" o:spid="_x0000_s1026" type="#_x0000_t75" style="position:absolute;left:0;text-align:left;margin-left:0;margin-top:2.6pt;width:182.25pt;height:291pt;z-index:251658240;visibility:visible;mso-position-vertical-relative:line">
            <v:imagedata r:id="rId8" o:title=""/>
            <w10:wrap type="square"/>
          </v:shape>
        </w:pict>
      </w:r>
      <w:r w:rsidRPr="00926B82">
        <w:rPr>
          <w:rFonts w:ascii="Arial" w:hAnsi="Arial" w:cs="Arial"/>
          <w:kern w:val="24"/>
          <w:sz w:val="22"/>
          <w:szCs w:val="22"/>
          <w:lang w:val="da-DK"/>
        </w:rPr>
        <w:t xml:space="preserve">De nye 17.5” og 19.5” </w:t>
      </w:r>
      <w:r w:rsidRPr="00926B82">
        <w:rPr>
          <w:rFonts w:ascii="Arial" w:hAnsi="Arial" w:cs="Arial"/>
          <w:i/>
          <w:kern w:val="24"/>
          <w:sz w:val="22"/>
          <w:szCs w:val="22"/>
          <w:lang w:val="da-DK"/>
        </w:rPr>
        <w:t>Regional RHT</w:t>
      </w:r>
      <w:r w:rsidRPr="00926B82">
        <w:rPr>
          <w:rFonts w:ascii="Arial" w:hAnsi="Arial" w:cs="Arial"/>
          <w:kern w:val="24"/>
          <w:sz w:val="22"/>
          <w:szCs w:val="22"/>
          <w:lang w:val="da-DK"/>
        </w:rPr>
        <w:t xml:space="preserve"> </w:t>
      </w:r>
      <w:r w:rsidRPr="00926B82">
        <w:rPr>
          <w:rFonts w:ascii="Arial" w:hAnsi="Arial" w:cs="Arial"/>
          <w:i/>
          <w:kern w:val="24"/>
          <w:sz w:val="22"/>
          <w:szCs w:val="22"/>
          <w:lang w:val="da-DK"/>
        </w:rPr>
        <w:t>II</w:t>
      </w:r>
      <w:r w:rsidRPr="00926B82">
        <w:rPr>
          <w:rFonts w:ascii="Arial" w:hAnsi="Arial" w:cs="Arial"/>
          <w:kern w:val="24"/>
          <w:sz w:val="22"/>
          <w:szCs w:val="22"/>
          <w:lang w:val="da-DK"/>
        </w:rPr>
        <w:t xml:space="preserve">-dæk, som erstatter </w:t>
      </w:r>
      <w:r w:rsidRPr="00926B82">
        <w:rPr>
          <w:rFonts w:ascii="Arial" w:hAnsi="Arial" w:cs="Arial"/>
          <w:i/>
          <w:kern w:val="24"/>
          <w:sz w:val="22"/>
          <w:szCs w:val="22"/>
          <w:lang w:val="da-DK"/>
        </w:rPr>
        <w:t>Marathon LHT</w:t>
      </w:r>
      <w:r w:rsidRPr="00926B82">
        <w:rPr>
          <w:rFonts w:ascii="Arial" w:hAnsi="Arial" w:cs="Arial"/>
          <w:kern w:val="24"/>
          <w:sz w:val="22"/>
          <w:szCs w:val="22"/>
          <w:lang w:val="da-DK"/>
        </w:rPr>
        <w:t>-dækket til nedbyggede</w:t>
      </w:r>
      <w:r>
        <w:rPr>
          <w:rFonts w:ascii="Arial" w:hAnsi="Arial" w:cs="Arial"/>
          <w:color w:val="FF0000"/>
          <w:kern w:val="24"/>
          <w:sz w:val="22"/>
          <w:szCs w:val="22"/>
          <w:lang w:val="da-DK"/>
        </w:rPr>
        <w:t xml:space="preserve"> </w:t>
      </w:r>
      <w:r>
        <w:rPr>
          <w:rFonts w:ascii="Arial" w:hAnsi="Arial" w:cs="Arial"/>
          <w:kern w:val="24"/>
          <w:sz w:val="22"/>
          <w:szCs w:val="22"/>
          <w:lang w:val="da-DK"/>
        </w:rPr>
        <w:t>trailere</w:t>
      </w:r>
      <w:r w:rsidRPr="00DD17DD">
        <w:rPr>
          <w:rFonts w:ascii="Arial" w:hAnsi="Arial" w:cs="Arial"/>
          <w:kern w:val="24"/>
          <w:sz w:val="22"/>
          <w:szCs w:val="22"/>
          <w:lang w:val="da-DK"/>
        </w:rPr>
        <w:t>, er også konstrueret til at yde ekstra holdbarhed. I denne henseende giver det 4-ribbede dækmønster god styrke i det øverste lag, den nye rilleform forbedrer modstandsdygtigheden over for revner samt afvisning af sten, og slidbanematerialet øger modstandsdygtigheden over for skader. Desuden giver en kombination af en forbedret kavitetsform og slidbanematerialet et højt kilometertal og et godt vådgreb. De nye dæk har en betydeligt større modstandsdygtighed over for skader, et fremragende kilometertal og en forbedret slidprofil. De har samtidig et 25 % bedre vådgreb end deres forgængere og 17 % mere end en af de førende konkurrenter. Forbikørselsstøjen er kun 69 dB(A)</w:t>
      </w:r>
      <w:r w:rsidRPr="00DD17DD">
        <w:rPr>
          <w:rFonts w:ascii="Arial" w:hAnsi="Arial" w:cs="Arial"/>
          <w:kern w:val="24"/>
          <w:sz w:val="22"/>
          <w:szCs w:val="22"/>
          <w:vertAlign w:val="superscript"/>
          <w:lang w:val="da-DK"/>
        </w:rPr>
        <w:t xml:space="preserve"> </w:t>
      </w:r>
      <w:r w:rsidRPr="00DD17DD">
        <w:rPr>
          <w:rStyle w:val="FootnoteReference"/>
          <w:rFonts w:ascii="Arial" w:hAnsi="Arial" w:cs="Arial"/>
          <w:kern w:val="24"/>
          <w:sz w:val="22"/>
          <w:szCs w:val="22"/>
          <w:lang w:val="da-DK"/>
        </w:rPr>
        <w:footnoteReference w:id="1"/>
      </w:r>
      <w:r w:rsidRPr="00DD17DD">
        <w:rPr>
          <w:rFonts w:ascii="Arial" w:hAnsi="Arial" w:cs="Arial"/>
          <w:kern w:val="24"/>
          <w:sz w:val="22"/>
          <w:szCs w:val="22"/>
          <w:lang w:val="da-DK"/>
        </w:rPr>
        <w:t>.</w:t>
      </w:r>
    </w:p>
    <w:p w:rsidR="000D60BC" w:rsidRPr="00DD17DD" w:rsidRDefault="000D60BC" w:rsidP="001F7542">
      <w:pPr>
        <w:pStyle w:val="NormalWeb"/>
        <w:spacing w:before="0" w:beforeAutospacing="0" w:after="120" w:afterAutospacing="0" w:line="360" w:lineRule="auto"/>
        <w:jc w:val="both"/>
        <w:textAlignment w:val="baseline"/>
        <w:rPr>
          <w:rFonts w:ascii="Arial" w:hAnsi="Arial" w:cs="Arial"/>
          <w:sz w:val="22"/>
          <w:szCs w:val="22"/>
          <w:lang w:val="da-DK"/>
        </w:rPr>
      </w:pPr>
      <w:r w:rsidRPr="00DD17DD">
        <w:rPr>
          <w:rFonts w:ascii="Arial" w:hAnsi="Arial" w:cs="Arial"/>
          <w:kern w:val="24"/>
          <w:sz w:val="22"/>
          <w:szCs w:val="22"/>
          <w:lang w:val="da-DK"/>
        </w:rPr>
        <w:t xml:space="preserve">De nye dæk drager fordel af både Goodyear Max Technology og KMax Technology. </w:t>
      </w:r>
      <w:r w:rsidRPr="00DD17DD">
        <w:rPr>
          <w:rFonts w:ascii="Arial" w:hAnsi="Arial" w:cs="Arial"/>
          <w:sz w:val="22"/>
          <w:szCs w:val="22"/>
          <w:lang w:val="da-DK"/>
        </w:rPr>
        <w:t>KMax</w:t>
      </w:r>
      <w:r w:rsidRPr="00DD17DD">
        <w:rPr>
          <w:rFonts w:ascii="Arial" w:hAnsi="Arial" w:cs="Arial"/>
          <w:b/>
          <w:sz w:val="22"/>
          <w:szCs w:val="22"/>
          <w:lang w:val="da-DK"/>
        </w:rPr>
        <w:t xml:space="preserve"> </w:t>
      </w:r>
      <w:r w:rsidRPr="00DD17DD">
        <w:rPr>
          <w:rFonts w:ascii="Arial" w:hAnsi="Arial" w:cs="Arial"/>
          <w:sz w:val="22"/>
          <w:szCs w:val="22"/>
          <w:lang w:val="da-DK"/>
        </w:rPr>
        <w:t xml:space="preserve">Technology er en specialdesignet kombination af dækegenskaber, der er udviklet til et bredt anvendelsesområde, og har et lavere brændstofforbrug, der reducerer prisen pr. kilometer. </w:t>
      </w:r>
    </w:p>
    <w:p w:rsidR="000D60BC" w:rsidRPr="00DD17DD" w:rsidRDefault="000D60BC" w:rsidP="001F7542">
      <w:pPr>
        <w:pStyle w:val="NormalWeb"/>
        <w:spacing w:before="0" w:beforeAutospacing="0" w:after="120" w:afterAutospacing="0" w:line="360" w:lineRule="auto"/>
        <w:jc w:val="both"/>
        <w:textAlignment w:val="baseline"/>
        <w:rPr>
          <w:rFonts w:ascii="Arial" w:hAnsi="Arial" w:cs="Arial"/>
          <w:kern w:val="24"/>
          <w:sz w:val="22"/>
          <w:szCs w:val="22"/>
          <w:lang w:val="da-DK"/>
        </w:rPr>
      </w:pPr>
      <w:r w:rsidRPr="00DD17DD">
        <w:rPr>
          <w:rFonts w:ascii="Arial" w:hAnsi="Arial" w:cs="Arial"/>
          <w:kern w:val="24"/>
          <w:sz w:val="22"/>
          <w:szCs w:val="22"/>
          <w:lang w:val="da-DK"/>
        </w:rPr>
        <w:t xml:space="preserve">Nogle af de nye dæk er designet til langsom kørehastighed og har en </w:t>
      </w:r>
      <w:r w:rsidRPr="00DD17DD">
        <w:rPr>
          <w:rFonts w:ascii="Arial" w:hAnsi="Arial" w:cs="Arial"/>
          <w:sz w:val="22"/>
          <w:szCs w:val="22"/>
          <w:lang w:val="da-DK"/>
        </w:rPr>
        <w:t>større lastkapacitet end deres forgængere. Dette kan være en stor fordel ved kørsel med tung last.</w:t>
      </w:r>
    </w:p>
    <w:p w:rsidR="000D60BC" w:rsidRPr="00DD17DD" w:rsidRDefault="000D60BC" w:rsidP="007E3444">
      <w:pPr>
        <w:pStyle w:val="NormalWeb"/>
        <w:spacing w:before="0" w:beforeAutospacing="0" w:after="40" w:afterAutospacing="0"/>
        <w:jc w:val="both"/>
        <w:textAlignment w:val="baseline"/>
        <w:rPr>
          <w:rFonts w:ascii="Arial" w:hAnsi="Arial" w:cs="Arial"/>
          <w:b/>
          <w:kern w:val="24"/>
          <w:sz w:val="22"/>
          <w:szCs w:val="22"/>
          <w:lang w:val="da-DK"/>
        </w:rPr>
      </w:pPr>
      <w:r w:rsidRPr="00DD17DD">
        <w:rPr>
          <w:rFonts w:ascii="Arial" w:hAnsi="Arial" w:cs="Arial"/>
          <w:b/>
          <w:kern w:val="24"/>
          <w:sz w:val="22"/>
          <w:szCs w:val="22"/>
          <w:lang w:val="da-DK"/>
        </w:rPr>
        <w:t>OVERHOLDER DE FORESLÅEDE EU-FORORDNINGER</w:t>
      </w:r>
    </w:p>
    <w:p w:rsidR="000D60BC" w:rsidRPr="00DD17DD" w:rsidRDefault="000D60BC" w:rsidP="00656A78">
      <w:pPr>
        <w:pStyle w:val="NormalWeb"/>
        <w:spacing w:before="0" w:beforeAutospacing="0" w:after="120" w:afterAutospacing="0" w:line="360" w:lineRule="auto"/>
        <w:jc w:val="both"/>
        <w:textAlignment w:val="baseline"/>
        <w:rPr>
          <w:rFonts w:ascii="Arial" w:hAnsi="Arial" w:cs="Arial"/>
          <w:kern w:val="24"/>
          <w:sz w:val="22"/>
          <w:szCs w:val="22"/>
          <w:lang w:val="da-DK"/>
        </w:rPr>
      </w:pPr>
      <w:r w:rsidRPr="00DD17DD">
        <w:rPr>
          <w:rFonts w:ascii="Arial" w:hAnsi="Arial" w:cs="Arial"/>
          <w:kern w:val="24"/>
          <w:sz w:val="22"/>
          <w:szCs w:val="22"/>
          <w:lang w:val="da-DK"/>
        </w:rPr>
        <w:t xml:space="preserve">EU-forordning 661/2009 </w:t>
      </w:r>
      <w:r w:rsidRPr="00DD17DD">
        <w:rPr>
          <w:rFonts w:ascii="Arial" w:hAnsi="Arial" w:cs="Arial"/>
          <w:sz w:val="22"/>
          <w:szCs w:val="22"/>
          <w:lang w:val="da-DK"/>
        </w:rPr>
        <w:t xml:space="preserve">opstiller nye, strenge regler for tilladte maksimumsniveauer af rullestøj og udvendigt støjniveau. Niveauet af rullemodstand og støj for </w:t>
      </w:r>
      <w:r w:rsidRPr="00DD17DD">
        <w:rPr>
          <w:rFonts w:ascii="Arial" w:hAnsi="Arial" w:cs="Arial"/>
          <w:i/>
          <w:kern w:val="24"/>
          <w:sz w:val="22"/>
          <w:szCs w:val="22"/>
          <w:lang w:val="da-DK"/>
        </w:rPr>
        <w:t>Regional RHT II</w:t>
      </w:r>
      <w:r w:rsidRPr="00DD17DD">
        <w:rPr>
          <w:rFonts w:ascii="Arial" w:hAnsi="Arial" w:cs="Arial"/>
          <w:kern w:val="24"/>
          <w:sz w:val="22"/>
          <w:szCs w:val="22"/>
          <w:lang w:val="da-DK"/>
        </w:rPr>
        <w:t xml:space="preserve">-dækkene </w:t>
      </w:r>
      <w:r w:rsidRPr="00DD17DD">
        <w:rPr>
          <w:rFonts w:ascii="Arial" w:hAnsi="Arial" w:cs="Arial"/>
          <w:sz w:val="22"/>
          <w:szCs w:val="22"/>
          <w:lang w:val="da-DK"/>
        </w:rPr>
        <w:t xml:space="preserve">ligger inden for de foreslåede grænser. </w:t>
      </w:r>
      <w:r w:rsidRPr="00DD17DD">
        <w:rPr>
          <w:rFonts w:ascii="Arial" w:hAnsi="Arial" w:cs="Arial"/>
          <w:kern w:val="24"/>
          <w:sz w:val="22"/>
          <w:szCs w:val="22"/>
          <w:lang w:val="da-DK"/>
        </w:rPr>
        <w:t>Desuden kræver EU-forordning 1222/2009 (dækmærkning), at teknisk salgsmateriale for dæk til tunge lastbiler skal indeholde mærkningsinformation, der viser i hvor høj grad dækkene overholder kravene til rullemodstand, vådgreb og støjniveau.</w:t>
      </w:r>
    </w:p>
    <w:p w:rsidR="000D60BC" w:rsidRPr="00DD17DD" w:rsidRDefault="000D60BC" w:rsidP="007E3444">
      <w:pPr>
        <w:pStyle w:val="NormalWeb"/>
        <w:spacing w:before="0" w:beforeAutospacing="0" w:after="40" w:afterAutospacing="0"/>
        <w:jc w:val="both"/>
        <w:textAlignment w:val="baseline"/>
        <w:rPr>
          <w:rFonts w:ascii="Arial" w:hAnsi="Arial" w:cs="Arial"/>
          <w:b/>
          <w:kern w:val="24"/>
          <w:sz w:val="22"/>
          <w:szCs w:val="22"/>
          <w:lang w:val="da-DK"/>
        </w:rPr>
      </w:pPr>
      <w:r w:rsidRPr="00DD17DD">
        <w:rPr>
          <w:rFonts w:ascii="Arial" w:hAnsi="Arial" w:cs="Arial"/>
          <w:b/>
          <w:kern w:val="24"/>
          <w:sz w:val="22"/>
          <w:szCs w:val="22"/>
          <w:lang w:val="da-DK"/>
        </w:rPr>
        <w:t>SUCCESRIGE TESTS</w:t>
      </w:r>
    </w:p>
    <w:p w:rsidR="000D60BC" w:rsidRPr="00DD17DD" w:rsidRDefault="000D60BC" w:rsidP="000E1485">
      <w:pPr>
        <w:pStyle w:val="NormalWeb"/>
        <w:spacing w:before="0" w:beforeAutospacing="0" w:after="120" w:afterAutospacing="0" w:line="360" w:lineRule="auto"/>
        <w:jc w:val="both"/>
        <w:textAlignment w:val="baseline"/>
        <w:rPr>
          <w:rFonts w:ascii="Arial" w:hAnsi="Arial" w:cs="Arial"/>
          <w:kern w:val="24"/>
          <w:sz w:val="22"/>
          <w:szCs w:val="22"/>
          <w:lang w:val="da-DK"/>
        </w:rPr>
      </w:pPr>
      <w:r w:rsidRPr="00DD17DD">
        <w:rPr>
          <w:rFonts w:ascii="Arial" w:hAnsi="Arial" w:cs="Arial"/>
          <w:kern w:val="24"/>
          <w:sz w:val="22"/>
          <w:szCs w:val="22"/>
          <w:lang w:val="da-DK"/>
        </w:rPr>
        <w:t xml:space="preserve">Forsøg med </w:t>
      </w:r>
      <w:r w:rsidRPr="00DD17DD">
        <w:rPr>
          <w:rFonts w:ascii="Arial" w:hAnsi="Arial" w:cs="Arial"/>
          <w:i/>
          <w:kern w:val="24"/>
          <w:sz w:val="22"/>
          <w:szCs w:val="22"/>
          <w:lang w:val="da-DK"/>
        </w:rPr>
        <w:t>Regional RHT</w:t>
      </w:r>
      <w:r w:rsidRPr="00DD17DD">
        <w:rPr>
          <w:rFonts w:ascii="Arial" w:hAnsi="Arial" w:cs="Arial"/>
          <w:kern w:val="24"/>
          <w:sz w:val="22"/>
          <w:szCs w:val="22"/>
          <w:lang w:val="da-DK"/>
        </w:rPr>
        <w:t xml:space="preserve"> II-dækket blev afviklet i samarbejde med biltransportfirmaet BLG Logistics Automobil Transporte i Tyskland. De nye dæk blev monteret på en toakslet Rolfo semi-trailer, og der blev kørt en identisk trailer med konkurrentens dæk. I begge tilfælde med dækstørrelse 245/70R17.</w:t>
      </w:r>
      <w:r w:rsidRPr="00926B82">
        <w:rPr>
          <w:rFonts w:ascii="Arial" w:hAnsi="Arial" w:cs="Arial"/>
          <w:kern w:val="24"/>
          <w:sz w:val="22"/>
          <w:szCs w:val="22"/>
          <w:lang w:val="da-DK"/>
        </w:rPr>
        <w:t>5 (maxbel.11200kg v/80km/t).</w:t>
      </w:r>
      <w:r w:rsidRPr="00DD17DD">
        <w:rPr>
          <w:rFonts w:ascii="Arial" w:hAnsi="Arial" w:cs="Arial"/>
          <w:kern w:val="24"/>
          <w:sz w:val="22"/>
          <w:szCs w:val="22"/>
          <w:lang w:val="da-DK"/>
        </w:rPr>
        <w:t xml:space="preserve"> Testene viste, at kilometertallet for </w:t>
      </w:r>
      <w:r w:rsidRPr="00DD17DD">
        <w:rPr>
          <w:rFonts w:ascii="Arial" w:hAnsi="Arial" w:cs="Arial"/>
          <w:i/>
          <w:kern w:val="24"/>
          <w:sz w:val="22"/>
          <w:szCs w:val="22"/>
          <w:lang w:val="da-DK"/>
        </w:rPr>
        <w:t>Regional RHT II</w:t>
      </w:r>
      <w:r w:rsidRPr="00DD17DD">
        <w:rPr>
          <w:rFonts w:ascii="Arial" w:hAnsi="Arial" w:cs="Arial"/>
          <w:kern w:val="24"/>
          <w:sz w:val="22"/>
          <w:szCs w:val="22"/>
          <w:lang w:val="da-DK"/>
        </w:rPr>
        <w:t>-dækket i gennemsnit var 6 % bedre end konkurrentens, og dette hang sammen med en forventet levetid på op til 170.000 kilometer på de hurtigst slidte dæk</w:t>
      </w:r>
      <w:r w:rsidRPr="00DD17DD">
        <w:rPr>
          <w:rFonts w:ascii="Arial" w:hAnsi="Arial" w:cs="Arial"/>
          <w:kern w:val="24"/>
          <w:sz w:val="20"/>
          <w:szCs w:val="20"/>
          <w:vertAlign w:val="superscript"/>
          <w:lang w:val="da-DK"/>
        </w:rPr>
        <w:t>1</w:t>
      </w:r>
      <w:r w:rsidRPr="00DD17DD">
        <w:rPr>
          <w:rFonts w:ascii="Arial" w:hAnsi="Arial" w:cs="Arial"/>
          <w:kern w:val="24"/>
          <w:sz w:val="22"/>
          <w:szCs w:val="22"/>
          <w:lang w:val="da-DK"/>
        </w:rPr>
        <w:t>. Peter-Michael Beling, supervisor for vedligeholdelse af køretøjer hos B.L.G Logistics Automobil Transporte, sagde, “</w:t>
      </w:r>
      <w:r w:rsidRPr="00DD17DD">
        <w:rPr>
          <w:rFonts w:ascii="Arial" w:hAnsi="Arial" w:cs="Arial"/>
          <w:i/>
          <w:kern w:val="24"/>
          <w:sz w:val="22"/>
          <w:szCs w:val="22"/>
          <w:lang w:val="da-DK"/>
        </w:rPr>
        <w:t>De nye Goodyear-dæk viste gode resultater. Karkassens holdbarhed er blevet forbedret, og derved er også kilometertallet forbedret.</w:t>
      </w:r>
      <w:r w:rsidRPr="00DD17DD">
        <w:rPr>
          <w:rFonts w:ascii="Arial" w:hAnsi="Arial" w:cs="Arial"/>
          <w:kern w:val="24"/>
          <w:sz w:val="22"/>
          <w:szCs w:val="22"/>
          <w:lang w:val="da-DK"/>
        </w:rPr>
        <w:t xml:space="preserve">" </w:t>
      </w:r>
    </w:p>
    <w:p w:rsidR="000D60BC" w:rsidRPr="00DD17DD" w:rsidRDefault="000D60BC" w:rsidP="000E1485">
      <w:pPr>
        <w:pStyle w:val="NormalWeb"/>
        <w:spacing w:before="0" w:beforeAutospacing="0" w:after="120" w:afterAutospacing="0" w:line="360" w:lineRule="auto"/>
        <w:ind w:left="1276"/>
        <w:jc w:val="both"/>
        <w:textAlignment w:val="baseline"/>
        <w:rPr>
          <w:lang w:val="da-DK"/>
        </w:rPr>
      </w:pPr>
      <w:r w:rsidRPr="00524968">
        <w:rPr>
          <w:noProof/>
          <w:lang w:val="sv-SE" w:eastAsia="sv-SE"/>
        </w:rPr>
        <w:pict>
          <v:shape id="Picture 4" o:spid="_x0000_i1026" type="#_x0000_t75" style="width:321pt;height:153pt;visibility:visible">
            <v:imagedata r:id="rId9" o:title=""/>
          </v:shape>
        </w:pict>
      </w:r>
      <w:r w:rsidRPr="00DD17DD">
        <w:rPr>
          <w:lang w:val="da-DK"/>
        </w:rPr>
        <w:t xml:space="preserve"> </w:t>
      </w:r>
    </w:p>
    <w:p w:rsidR="000D60BC" w:rsidRPr="00DD17DD" w:rsidRDefault="000D60BC" w:rsidP="00F27C41">
      <w:pPr>
        <w:pStyle w:val="Caption"/>
        <w:jc w:val="center"/>
        <w:rPr>
          <w:rFonts w:ascii="Arial" w:hAnsi="Arial" w:cs="Arial"/>
          <w:color w:val="auto"/>
          <w:kern w:val="24"/>
          <w:sz w:val="20"/>
          <w:szCs w:val="20"/>
          <w:lang w:val="da-DK"/>
        </w:rPr>
      </w:pPr>
      <w:r w:rsidRPr="00DD17DD">
        <w:rPr>
          <w:rFonts w:ascii="Arial" w:hAnsi="Arial" w:cs="Arial"/>
          <w:color w:val="auto"/>
          <w:lang w:val="da-DK"/>
        </w:rPr>
        <w:t xml:space="preserve">Skema - se fodnoten </w:t>
      </w:r>
      <w:r w:rsidRPr="00DD17DD">
        <w:rPr>
          <w:rFonts w:ascii="Arial" w:hAnsi="Arial" w:cs="Arial"/>
          <w:color w:val="auto"/>
          <w:vertAlign w:val="superscript"/>
          <w:lang w:val="da-DK"/>
        </w:rPr>
        <w:t>1</w:t>
      </w:r>
    </w:p>
    <w:p w:rsidR="000D60BC" w:rsidRPr="00926B82" w:rsidRDefault="000D60BC" w:rsidP="002875AD">
      <w:pPr>
        <w:pStyle w:val="NormalWeb"/>
        <w:spacing w:before="0" w:beforeAutospacing="0" w:after="0" w:afterAutospacing="0"/>
        <w:jc w:val="both"/>
        <w:textAlignment w:val="baseline"/>
        <w:rPr>
          <w:rFonts w:ascii="Arial" w:hAnsi="Arial" w:cs="Arial"/>
          <w:b/>
          <w:kern w:val="24"/>
          <w:sz w:val="22"/>
          <w:szCs w:val="22"/>
          <w:lang w:val="da-DK"/>
        </w:rPr>
      </w:pPr>
      <w:r w:rsidRPr="00926B82">
        <w:rPr>
          <w:rFonts w:ascii="Arial" w:hAnsi="Arial" w:cs="Arial"/>
          <w:b/>
          <w:kern w:val="24"/>
          <w:sz w:val="22"/>
          <w:szCs w:val="22"/>
          <w:lang w:val="da-DK"/>
        </w:rPr>
        <w:t>Dimensioner og tilgængelighed</w:t>
      </w:r>
    </w:p>
    <w:p w:rsidR="000D60BC" w:rsidRPr="00926B82" w:rsidRDefault="000D60BC" w:rsidP="002875AD">
      <w:pPr>
        <w:pStyle w:val="NormalWeb"/>
        <w:spacing w:before="0" w:beforeAutospacing="0" w:after="0" w:afterAutospacing="0"/>
        <w:jc w:val="both"/>
        <w:textAlignment w:val="baseline"/>
        <w:rPr>
          <w:rFonts w:ascii="Arial" w:hAnsi="Arial" w:cs="Arial"/>
          <w:kern w:val="24"/>
          <w:sz w:val="22"/>
          <w:szCs w:val="22"/>
          <w:lang w:val="da-DK"/>
        </w:rPr>
      </w:pPr>
    </w:p>
    <w:p w:rsidR="000D60BC" w:rsidRPr="00926B82" w:rsidRDefault="000D60BC" w:rsidP="002875AD">
      <w:pPr>
        <w:pStyle w:val="NormalWeb"/>
        <w:spacing w:before="0" w:beforeAutospacing="0" w:after="0" w:afterAutospacing="0"/>
        <w:jc w:val="both"/>
        <w:textAlignment w:val="baseline"/>
        <w:rPr>
          <w:rFonts w:ascii="Arial" w:hAnsi="Arial" w:cs="Arial"/>
          <w:sz w:val="22"/>
          <w:szCs w:val="22"/>
          <w:lang w:val="da-DK"/>
        </w:rPr>
      </w:pPr>
      <w:r w:rsidRPr="00926B82">
        <w:rPr>
          <w:rFonts w:ascii="Arial" w:hAnsi="Arial" w:cs="Arial"/>
          <w:sz w:val="22"/>
          <w:szCs w:val="22"/>
          <w:lang w:val="da-DK"/>
        </w:rPr>
        <w:t>205/65R17.5 --129/127K / 130/130J    december</w:t>
      </w:r>
    </w:p>
    <w:p w:rsidR="000D60BC" w:rsidRPr="00926B82" w:rsidRDefault="000D60BC" w:rsidP="00420769">
      <w:pPr>
        <w:pStyle w:val="NormalWeb"/>
        <w:spacing w:before="0" w:beforeAutospacing="0" w:after="0" w:afterAutospacing="0"/>
        <w:jc w:val="both"/>
        <w:textAlignment w:val="baseline"/>
        <w:rPr>
          <w:rFonts w:ascii="Arial" w:hAnsi="Arial" w:cs="Arial"/>
          <w:kern w:val="24"/>
          <w:sz w:val="22"/>
          <w:szCs w:val="22"/>
          <w:lang w:val="da-DK"/>
        </w:rPr>
      </w:pPr>
      <w:r w:rsidRPr="00926B82">
        <w:rPr>
          <w:rFonts w:ascii="Arial" w:hAnsi="Arial" w:cs="Arial"/>
          <w:kern w:val="24"/>
          <w:sz w:val="22"/>
          <w:szCs w:val="22"/>
          <w:lang w:val="da-DK"/>
        </w:rPr>
        <w:t xml:space="preserve">215/75R17.5 – 135/133J                      </w:t>
      </w:r>
    </w:p>
    <w:p w:rsidR="000D60BC" w:rsidRPr="00DD0ECB" w:rsidRDefault="000D60BC" w:rsidP="002875AD">
      <w:pPr>
        <w:pStyle w:val="NormalWeb"/>
        <w:spacing w:before="0" w:beforeAutospacing="0" w:after="0" w:afterAutospacing="0"/>
        <w:jc w:val="both"/>
        <w:textAlignment w:val="baseline"/>
        <w:rPr>
          <w:rFonts w:ascii="Arial" w:hAnsi="Arial" w:cs="Arial"/>
          <w:kern w:val="24"/>
          <w:sz w:val="22"/>
          <w:szCs w:val="22"/>
          <w:lang w:val="pt-BR"/>
        </w:rPr>
      </w:pPr>
      <w:r w:rsidRPr="00DD0ECB">
        <w:rPr>
          <w:rFonts w:ascii="Arial" w:hAnsi="Arial" w:cs="Arial"/>
          <w:kern w:val="24"/>
          <w:sz w:val="22"/>
          <w:szCs w:val="22"/>
          <w:lang w:val="pt-BR"/>
        </w:rPr>
        <w:t xml:space="preserve">235/75R17.5 – 143/141J / 144/144F   </w:t>
      </w:r>
    </w:p>
    <w:p w:rsidR="000D60BC" w:rsidRPr="00DD0ECB" w:rsidRDefault="000D60BC" w:rsidP="00420769">
      <w:pPr>
        <w:pStyle w:val="NormalWeb"/>
        <w:spacing w:before="0" w:beforeAutospacing="0" w:after="0" w:afterAutospacing="0"/>
        <w:jc w:val="both"/>
        <w:textAlignment w:val="baseline"/>
        <w:rPr>
          <w:rFonts w:ascii="Arial" w:hAnsi="Arial" w:cs="Arial"/>
          <w:kern w:val="24"/>
          <w:sz w:val="22"/>
          <w:szCs w:val="22"/>
          <w:lang w:val="pt-BR"/>
        </w:rPr>
      </w:pPr>
      <w:r w:rsidRPr="00DD0ECB">
        <w:rPr>
          <w:rFonts w:ascii="Arial" w:hAnsi="Arial" w:cs="Arial"/>
          <w:kern w:val="24"/>
          <w:sz w:val="22"/>
          <w:szCs w:val="22"/>
          <w:lang w:val="pt-BR"/>
        </w:rPr>
        <w:t xml:space="preserve">245/70R17.5 – 143/141J / 146/146F   </w:t>
      </w:r>
    </w:p>
    <w:p w:rsidR="000D60BC" w:rsidRPr="00DD0ECB" w:rsidRDefault="000D60BC" w:rsidP="00420769">
      <w:pPr>
        <w:pStyle w:val="NormalWeb"/>
        <w:spacing w:before="0" w:beforeAutospacing="0" w:after="0" w:afterAutospacing="0"/>
        <w:jc w:val="both"/>
        <w:textAlignment w:val="baseline"/>
        <w:rPr>
          <w:rFonts w:ascii="Arial" w:hAnsi="Arial" w:cs="Arial"/>
          <w:sz w:val="22"/>
          <w:szCs w:val="22"/>
          <w:lang w:val="pt-BR"/>
        </w:rPr>
      </w:pPr>
      <w:r w:rsidRPr="00DD0ECB">
        <w:rPr>
          <w:rFonts w:ascii="Arial" w:hAnsi="Arial" w:cs="Arial"/>
          <w:sz w:val="22"/>
          <w:szCs w:val="22"/>
          <w:lang w:val="pt-BR"/>
        </w:rPr>
        <w:t>9.5R17.5 – 143/141J                            december</w:t>
      </w:r>
    </w:p>
    <w:p w:rsidR="000D60BC" w:rsidRPr="00926B82" w:rsidRDefault="000D60BC" w:rsidP="00420769">
      <w:pPr>
        <w:pStyle w:val="NormalWeb"/>
        <w:spacing w:before="0" w:beforeAutospacing="0" w:after="0" w:afterAutospacing="0"/>
        <w:jc w:val="both"/>
        <w:textAlignment w:val="baseline"/>
        <w:rPr>
          <w:rFonts w:ascii="Arial" w:hAnsi="Arial" w:cs="Arial"/>
          <w:sz w:val="22"/>
          <w:szCs w:val="22"/>
          <w:lang w:val="da-DK"/>
        </w:rPr>
      </w:pPr>
      <w:r w:rsidRPr="00926B82">
        <w:rPr>
          <w:rFonts w:ascii="Arial" w:hAnsi="Arial" w:cs="Arial"/>
          <w:sz w:val="22"/>
          <w:szCs w:val="22"/>
          <w:lang w:val="da-DK"/>
        </w:rPr>
        <w:t>245/70R19.5 – 141/140J                      december</w:t>
      </w:r>
    </w:p>
    <w:p w:rsidR="000D60BC" w:rsidRDefault="000D60BC" w:rsidP="002875AD">
      <w:pPr>
        <w:pStyle w:val="NormalWeb"/>
        <w:spacing w:before="0" w:beforeAutospacing="0" w:after="0" w:afterAutospacing="0"/>
        <w:jc w:val="both"/>
        <w:textAlignment w:val="baseline"/>
        <w:rPr>
          <w:rFonts w:ascii="Arial" w:hAnsi="Arial" w:cs="Arial"/>
          <w:sz w:val="22"/>
          <w:szCs w:val="22"/>
          <w:lang w:val="da-DK"/>
        </w:rPr>
      </w:pPr>
      <w:r w:rsidRPr="00926B82">
        <w:rPr>
          <w:rFonts w:ascii="Arial" w:hAnsi="Arial" w:cs="Arial"/>
          <w:sz w:val="22"/>
          <w:szCs w:val="22"/>
          <w:lang w:val="da-DK"/>
        </w:rPr>
        <w:t xml:space="preserve">265/70R19.5 – 143/141J                      </w:t>
      </w:r>
    </w:p>
    <w:p w:rsidR="000D60BC" w:rsidRPr="00926B82" w:rsidRDefault="000D60BC" w:rsidP="002875AD">
      <w:pPr>
        <w:pStyle w:val="NormalWeb"/>
        <w:spacing w:before="0" w:beforeAutospacing="0" w:after="0" w:afterAutospacing="0"/>
        <w:jc w:val="both"/>
        <w:textAlignment w:val="baseline"/>
        <w:rPr>
          <w:rFonts w:ascii="Arial" w:hAnsi="Arial" w:cs="Arial"/>
          <w:sz w:val="22"/>
          <w:szCs w:val="22"/>
          <w:lang w:val="da-DK"/>
        </w:rPr>
      </w:pPr>
      <w:r w:rsidRPr="00926B82">
        <w:rPr>
          <w:rFonts w:ascii="Arial" w:hAnsi="Arial" w:cs="Arial"/>
          <w:sz w:val="22"/>
          <w:szCs w:val="22"/>
          <w:lang w:val="da-DK"/>
        </w:rPr>
        <w:t>285/70R19.5 – 150/148J                      december</w:t>
      </w:r>
    </w:p>
    <w:p w:rsidR="000D60BC" w:rsidRPr="00DC76A0" w:rsidRDefault="000D60BC" w:rsidP="002875AD">
      <w:pPr>
        <w:pStyle w:val="NormalWeb"/>
        <w:spacing w:before="0" w:beforeAutospacing="0" w:after="0" w:afterAutospacing="0"/>
        <w:jc w:val="both"/>
        <w:textAlignment w:val="baseline"/>
        <w:rPr>
          <w:rFonts w:ascii="Arial" w:hAnsi="Arial" w:cs="Arial"/>
          <w:color w:val="FF0000"/>
          <w:sz w:val="22"/>
          <w:szCs w:val="22"/>
          <w:lang w:val="da-DK"/>
        </w:rPr>
      </w:pPr>
    </w:p>
    <w:p w:rsidR="000D60BC" w:rsidRDefault="000D60BC" w:rsidP="007E617D">
      <w:pPr>
        <w:pStyle w:val="NormalWeb"/>
        <w:spacing w:before="0" w:beforeAutospacing="0" w:after="120" w:afterAutospacing="0" w:line="360" w:lineRule="auto"/>
        <w:jc w:val="both"/>
        <w:textAlignment w:val="baseline"/>
        <w:rPr>
          <w:rFonts w:ascii="Arial" w:hAnsi="Arial" w:cs="Arial"/>
          <w:sz w:val="22"/>
          <w:szCs w:val="22"/>
          <w:lang w:val="da-DK"/>
        </w:rPr>
      </w:pPr>
      <w:r w:rsidRPr="00DD17DD">
        <w:rPr>
          <w:rFonts w:ascii="Arial" w:hAnsi="Arial" w:cs="Arial"/>
          <w:sz w:val="22"/>
          <w:szCs w:val="22"/>
          <w:lang w:val="da-DK"/>
        </w:rPr>
        <w:t>Goodyear Regional RHT II kan mønsteropskæres og regummieres.</w:t>
      </w:r>
    </w:p>
    <w:p w:rsidR="000D60BC" w:rsidRDefault="000D60BC" w:rsidP="00926B82">
      <w:pPr>
        <w:jc w:val="both"/>
        <w:rPr>
          <w:rFonts w:ascii="Arial" w:hAnsi="Arial" w:cs="Arial"/>
          <w:b/>
          <w:sz w:val="22"/>
          <w:szCs w:val="22"/>
          <w:lang w:val="da-DK"/>
        </w:rPr>
      </w:pPr>
    </w:p>
    <w:p w:rsidR="000D60BC" w:rsidRDefault="000D60BC" w:rsidP="00926B82">
      <w:pPr>
        <w:jc w:val="both"/>
        <w:rPr>
          <w:rFonts w:ascii="Arial" w:hAnsi="Arial" w:cs="Arial"/>
          <w:b/>
          <w:sz w:val="22"/>
          <w:szCs w:val="22"/>
          <w:lang w:val="da-DK"/>
        </w:rPr>
      </w:pPr>
    </w:p>
    <w:p w:rsidR="000D60BC" w:rsidRPr="00E23B6F" w:rsidRDefault="000D60BC" w:rsidP="00926B82">
      <w:pPr>
        <w:jc w:val="both"/>
        <w:rPr>
          <w:rFonts w:ascii="Arial" w:hAnsi="Arial" w:cs="Arial"/>
          <w:b/>
          <w:sz w:val="22"/>
          <w:szCs w:val="22"/>
          <w:lang w:val="da-DK"/>
        </w:rPr>
      </w:pPr>
      <w:r w:rsidRPr="00E23B6F">
        <w:rPr>
          <w:rFonts w:ascii="Arial" w:hAnsi="Arial" w:cs="Arial"/>
          <w:b/>
          <w:sz w:val="22"/>
          <w:szCs w:val="22"/>
          <w:lang w:val="da-DK"/>
        </w:rPr>
        <w:t>Om Goodyear</w:t>
      </w:r>
    </w:p>
    <w:p w:rsidR="000D60BC" w:rsidRPr="00E23B6F" w:rsidRDefault="000D60BC" w:rsidP="00926B82">
      <w:pPr>
        <w:spacing w:after="120"/>
        <w:jc w:val="both"/>
        <w:rPr>
          <w:rFonts w:ascii="Arial" w:hAnsi="Arial" w:cs="Arial"/>
          <w:sz w:val="18"/>
          <w:szCs w:val="18"/>
          <w:lang w:val="da-DK"/>
        </w:rPr>
      </w:pPr>
      <w:r w:rsidRPr="00E23B6F">
        <w:rPr>
          <w:rFonts w:ascii="Arial" w:hAnsi="Arial" w:cs="Arial"/>
          <w:sz w:val="18"/>
          <w:szCs w:val="18"/>
          <w:lang w:val="da-DK"/>
        </w:rPr>
        <w:t xml:space="preserve">Goodyear er en af verdens største dækproducenter. Goodyear beskæftiger omkring 73.000 personer og har 54 produktionssteder i 22 lande verden over. Virksomhedens to innovationscentre i Akron, Ohio og Colmar-Berg i Luxembourg arbejder målrettet på at udvikle state-of-the-art produkter og tjenester, der sætter standarden for teknologi og performance i industrien. </w:t>
      </w:r>
    </w:p>
    <w:p w:rsidR="000D60BC" w:rsidRPr="00E23B6F" w:rsidRDefault="000D60BC" w:rsidP="00926B82">
      <w:pPr>
        <w:spacing w:after="120"/>
        <w:jc w:val="both"/>
        <w:rPr>
          <w:rFonts w:ascii="Arial" w:hAnsi="Arial" w:cs="Arial"/>
          <w:sz w:val="18"/>
          <w:szCs w:val="18"/>
          <w:lang w:val="da-DK"/>
        </w:rPr>
      </w:pPr>
      <w:r w:rsidRPr="00E23B6F">
        <w:rPr>
          <w:rFonts w:ascii="Arial" w:hAnsi="Arial" w:cs="Arial"/>
          <w:sz w:val="18"/>
          <w:szCs w:val="18"/>
          <w:lang w:val="da-DK"/>
        </w:rPr>
        <w:t xml:space="preserve">Goodyear Dunlop Europes dæksortiment til erhvervskøretøjer, busser og rutebiler omfatter mere end 400 forskellige dæk i 55 størrelser.  Mange af verdens førende bilproducenter monterer Goodyear-dæk som standardudstyr, herunder DAF, Iveco, MAN, Mercedes-Benz, Renault Trucks, Scania og Volvo.  Goodyear leverer også dæk til alle større trailerproducenter. Med Fleet First, som omfatter TruckForce-servicenetværket, ServiceLine 24h vejhjælp, Mobility, FleetOnlineSolutions Internet managementsystem og Goodyear Retread Technologies, leverer Goodyear det bredeste sortiment af specialdesignede tjenester i industrien. </w:t>
      </w:r>
    </w:p>
    <w:p w:rsidR="000D60BC" w:rsidRPr="00E23B6F" w:rsidRDefault="000D60BC" w:rsidP="00926B82">
      <w:pPr>
        <w:spacing w:after="120"/>
        <w:jc w:val="both"/>
        <w:rPr>
          <w:lang w:val="da-DK"/>
        </w:rPr>
      </w:pPr>
      <w:r w:rsidRPr="00E23B6F">
        <w:rPr>
          <w:rFonts w:ascii="Arial" w:hAnsi="Arial" w:cs="Arial"/>
          <w:color w:val="000000"/>
          <w:sz w:val="18"/>
          <w:szCs w:val="18"/>
          <w:lang w:val="da-DK"/>
        </w:rPr>
        <w:t xml:space="preserve">Hvis du vil vide mere om Goodyear og virksomhedens produkter, kan du besøge </w:t>
      </w:r>
      <w:r w:rsidRPr="007C7780">
        <w:rPr>
          <w:rFonts w:ascii="Arial" w:hAnsi="Arial" w:cs="Arial"/>
          <w:sz w:val="18"/>
          <w:szCs w:val="18"/>
          <w:lang w:val="da-DK"/>
        </w:rPr>
        <w:t>www.goodyear.</w:t>
      </w:r>
      <w:r>
        <w:rPr>
          <w:rFonts w:ascii="Arial" w:hAnsi="Arial" w:cs="Arial"/>
          <w:sz w:val="18"/>
          <w:szCs w:val="18"/>
          <w:lang w:val="da-DK"/>
        </w:rPr>
        <w:t>dk.</w:t>
      </w:r>
    </w:p>
    <w:p w:rsidR="000D60BC" w:rsidRPr="00DD17DD" w:rsidRDefault="000D60BC" w:rsidP="007E617D">
      <w:pPr>
        <w:pStyle w:val="NormalWeb"/>
        <w:spacing w:before="0" w:beforeAutospacing="0" w:after="120" w:afterAutospacing="0" w:line="360" w:lineRule="auto"/>
        <w:jc w:val="both"/>
        <w:textAlignment w:val="baseline"/>
        <w:rPr>
          <w:rFonts w:ascii="Arial" w:hAnsi="Arial" w:cs="Arial"/>
          <w:sz w:val="22"/>
          <w:szCs w:val="22"/>
          <w:lang w:val="da-DK"/>
        </w:rPr>
      </w:pPr>
    </w:p>
    <w:p w:rsidR="000D60BC" w:rsidRPr="00DD17DD" w:rsidRDefault="000D60BC" w:rsidP="007E617D">
      <w:pPr>
        <w:pStyle w:val="NormalWeb"/>
        <w:spacing w:before="0" w:beforeAutospacing="0" w:after="120" w:afterAutospacing="0" w:line="360" w:lineRule="auto"/>
        <w:jc w:val="both"/>
        <w:textAlignment w:val="baseline"/>
        <w:rPr>
          <w:rFonts w:ascii="Arial" w:hAnsi="Arial" w:cs="Arial"/>
          <w:sz w:val="22"/>
          <w:szCs w:val="22"/>
          <w:lang w:val="da-DK"/>
        </w:rPr>
      </w:pPr>
      <w:r w:rsidRPr="00DD17DD">
        <w:rPr>
          <w:kern w:val="24"/>
          <w:lang w:val="da-DK"/>
        </w:rPr>
        <w:br w:type="column"/>
      </w:r>
      <w:bookmarkEnd w:id="0"/>
    </w:p>
    <w:p w:rsidR="000D60BC" w:rsidRPr="00B50749" w:rsidRDefault="000D60BC" w:rsidP="00900B72">
      <w:pPr>
        <w:jc w:val="both"/>
        <w:rPr>
          <w:rFonts w:ascii="Arial" w:hAnsi="Arial" w:cs="Arial"/>
          <w:b/>
          <w:sz w:val="18"/>
          <w:szCs w:val="18"/>
          <w:lang w:val="en-US"/>
        </w:rPr>
      </w:pPr>
      <w:r w:rsidRPr="00926B82">
        <w:rPr>
          <w:rFonts w:ascii="Arial" w:hAnsi="Arial" w:cs="Arial"/>
          <w:b/>
          <w:sz w:val="18"/>
          <w:szCs w:val="18"/>
          <w:lang w:val="en-US"/>
        </w:rPr>
        <w:t>Abou</w:t>
      </w:r>
      <w:r w:rsidRPr="00B50749">
        <w:rPr>
          <w:rFonts w:ascii="Arial" w:hAnsi="Arial" w:cs="Arial"/>
          <w:b/>
          <w:sz w:val="18"/>
          <w:szCs w:val="18"/>
          <w:lang w:val="en-US"/>
        </w:rPr>
        <w:t>t Goodyear</w:t>
      </w:r>
    </w:p>
    <w:p w:rsidR="000D60BC" w:rsidRPr="00B50749" w:rsidRDefault="000D60BC" w:rsidP="00900B72">
      <w:pPr>
        <w:jc w:val="both"/>
        <w:rPr>
          <w:rFonts w:ascii="Arial" w:hAnsi="Arial" w:cs="Arial"/>
          <w:b/>
          <w:sz w:val="18"/>
          <w:szCs w:val="18"/>
          <w:lang w:val="en-US"/>
        </w:rPr>
      </w:pPr>
    </w:p>
    <w:p w:rsidR="000D60BC" w:rsidRPr="00B50749" w:rsidRDefault="000D60BC" w:rsidP="00900B72">
      <w:pPr>
        <w:spacing w:after="120"/>
        <w:jc w:val="both"/>
        <w:rPr>
          <w:rFonts w:ascii="Arial" w:hAnsi="Arial" w:cs="Arial"/>
          <w:sz w:val="16"/>
          <w:szCs w:val="16"/>
          <w:lang w:val="en-US"/>
        </w:rPr>
      </w:pPr>
      <w:r w:rsidRPr="00B50749">
        <w:rPr>
          <w:rFonts w:ascii="Arial" w:hAnsi="Arial" w:cs="Arial"/>
          <w:sz w:val="16"/>
          <w:szCs w:val="16"/>
          <w:lang w:val="en-US"/>
        </w:rPr>
        <w:t xml:space="preserve">Goodyear is one of the world’s largest tire companies. It employs approximately 73,000 people and manufactures its products in 54 facilities in 22 countries around the world. Its two Innovation Centers in </w:t>
      </w:r>
      <w:smartTag w:uri="urn:schemas-microsoft-com:office:smarttags" w:element="City">
        <w:r w:rsidRPr="00B50749">
          <w:rPr>
            <w:rFonts w:ascii="Arial" w:hAnsi="Arial" w:cs="Arial"/>
            <w:sz w:val="16"/>
            <w:szCs w:val="16"/>
            <w:lang w:val="en-US"/>
          </w:rPr>
          <w:t>Akron</w:t>
        </w:r>
      </w:smartTag>
      <w:r w:rsidRPr="00B50749">
        <w:rPr>
          <w:rFonts w:ascii="Arial" w:hAnsi="Arial" w:cs="Arial"/>
          <w:sz w:val="16"/>
          <w:szCs w:val="16"/>
          <w:lang w:val="en-US"/>
        </w:rPr>
        <w:t xml:space="preserve">, </w:t>
      </w:r>
      <w:smartTag w:uri="urn:schemas-microsoft-com:office:smarttags" w:element="State">
        <w:r w:rsidRPr="00B50749">
          <w:rPr>
            <w:rFonts w:ascii="Arial" w:hAnsi="Arial" w:cs="Arial"/>
            <w:sz w:val="16"/>
            <w:szCs w:val="16"/>
            <w:lang w:val="en-US"/>
          </w:rPr>
          <w:t>Ohio</w:t>
        </w:r>
      </w:smartTag>
      <w:r w:rsidRPr="00B50749">
        <w:rPr>
          <w:rFonts w:ascii="Arial" w:hAnsi="Arial" w:cs="Arial"/>
          <w:sz w:val="16"/>
          <w:szCs w:val="16"/>
          <w:lang w:val="en-US"/>
        </w:rPr>
        <w:t xml:space="preserve"> and </w:t>
      </w:r>
      <w:smartTag w:uri="urn:schemas-microsoft-com:office:smarttags" w:element="place">
        <w:smartTag w:uri="urn:schemas-microsoft-com:office:smarttags" w:element="City">
          <w:r w:rsidRPr="00B50749">
            <w:rPr>
              <w:rFonts w:ascii="Arial" w:hAnsi="Arial" w:cs="Arial"/>
              <w:sz w:val="16"/>
              <w:szCs w:val="16"/>
              <w:lang w:val="en-US"/>
            </w:rPr>
            <w:t>Colmar-Berg</w:t>
          </w:r>
        </w:smartTag>
        <w:r w:rsidRPr="00B50749">
          <w:rPr>
            <w:rFonts w:ascii="Arial" w:hAnsi="Arial" w:cs="Arial"/>
            <w:sz w:val="16"/>
            <w:szCs w:val="16"/>
            <w:lang w:val="en-US"/>
          </w:rPr>
          <w:t xml:space="preserve">, </w:t>
        </w:r>
        <w:smartTag w:uri="urn:schemas-microsoft-com:office:smarttags" w:element="place">
          <w:r w:rsidRPr="00B50749">
            <w:rPr>
              <w:rFonts w:ascii="Arial" w:hAnsi="Arial" w:cs="Arial"/>
              <w:sz w:val="16"/>
              <w:szCs w:val="16"/>
              <w:lang w:val="en-US"/>
            </w:rPr>
            <w:t>Luxembourg</w:t>
          </w:r>
        </w:smartTag>
      </w:smartTag>
      <w:r w:rsidRPr="00B50749">
        <w:rPr>
          <w:rFonts w:ascii="Arial" w:hAnsi="Arial" w:cs="Arial"/>
          <w:sz w:val="16"/>
          <w:szCs w:val="16"/>
          <w:lang w:val="en-US"/>
        </w:rPr>
        <w:t xml:space="preserve"> strive to develop state-of-the-art products and services that set the technology and performance standard for the industry. </w:t>
      </w:r>
    </w:p>
    <w:p w:rsidR="000D60BC" w:rsidRPr="00B50749" w:rsidRDefault="000D60BC" w:rsidP="00900B72">
      <w:pPr>
        <w:spacing w:after="120"/>
        <w:jc w:val="both"/>
        <w:rPr>
          <w:rFonts w:ascii="Arial" w:hAnsi="Arial" w:cs="Arial"/>
          <w:sz w:val="16"/>
          <w:szCs w:val="16"/>
          <w:lang w:val="en-US"/>
        </w:rPr>
      </w:pPr>
      <w:r w:rsidRPr="00B50749">
        <w:rPr>
          <w:rFonts w:ascii="Arial" w:hAnsi="Arial" w:cs="Arial"/>
          <w:sz w:val="16"/>
          <w:szCs w:val="16"/>
          <w:lang w:val="en-US"/>
        </w:rPr>
        <w:t xml:space="preserve">Goodyear Dunlop Europe’s range of tires for commercial vehicles, buses and coaches includes more than 400 different tires covering in excess of 55 sizes.  Many of the world's leading commercial vehicle manufacturers fit tires from Goodyear as standard, including DAF, Iveco, MAN, Mercedes-Benz, Renault Trucks, Scania and Volvo.  Goodyear also supplies tires to all major trailer manufacturers. With Fleet First, which includes the TruckForce service network, ServiceLine 24h roadside assistance, Mobility, FleetOnlineSolutions Internet management system and Goodyear Retread Technologies, Goodyear provides the broadest range of dedicated services in the industry. </w:t>
      </w:r>
    </w:p>
    <w:p w:rsidR="000D60BC" w:rsidRPr="00B50749" w:rsidRDefault="000D60BC" w:rsidP="00900B72">
      <w:pPr>
        <w:spacing w:after="120"/>
        <w:jc w:val="both"/>
        <w:rPr>
          <w:sz w:val="16"/>
          <w:szCs w:val="16"/>
          <w:lang w:val="en-US"/>
        </w:rPr>
      </w:pPr>
      <w:r w:rsidRPr="00B50749">
        <w:rPr>
          <w:rFonts w:ascii="Arial" w:hAnsi="Arial" w:cs="Arial"/>
          <w:color w:val="000000"/>
          <w:sz w:val="16"/>
          <w:szCs w:val="16"/>
          <w:lang w:val="en-US"/>
        </w:rPr>
        <w:t xml:space="preserve">For more information on Goodyear and its products, visit </w:t>
      </w:r>
      <w:r w:rsidRPr="00B50749">
        <w:rPr>
          <w:rFonts w:ascii="Arial" w:hAnsi="Arial" w:cs="Arial"/>
          <w:sz w:val="16"/>
          <w:szCs w:val="16"/>
          <w:lang w:val="en-US"/>
        </w:rPr>
        <w:t>www.g</w:t>
      </w:r>
      <w:bookmarkStart w:id="1" w:name="_GoBack"/>
      <w:bookmarkEnd w:id="1"/>
      <w:r w:rsidRPr="00B50749">
        <w:rPr>
          <w:rFonts w:ascii="Arial" w:hAnsi="Arial" w:cs="Arial"/>
          <w:sz w:val="16"/>
          <w:szCs w:val="16"/>
          <w:lang w:val="en-US"/>
        </w:rPr>
        <w:t>oodyear.com</w:t>
      </w:r>
      <w:r w:rsidRPr="00B50749">
        <w:rPr>
          <w:rFonts w:ascii="Arial" w:hAnsi="Arial" w:cs="Arial"/>
          <w:color w:val="000000"/>
          <w:sz w:val="16"/>
          <w:szCs w:val="16"/>
          <w:lang w:val="en-US"/>
        </w:rPr>
        <w:t xml:space="preserve">. </w:t>
      </w:r>
    </w:p>
    <w:p w:rsidR="000D60BC" w:rsidRPr="00B50749" w:rsidRDefault="000D60BC" w:rsidP="00900B72">
      <w:pPr>
        <w:jc w:val="both"/>
        <w:rPr>
          <w:lang w:val="en-US"/>
        </w:rPr>
      </w:pPr>
    </w:p>
    <w:sectPr w:rsidR="000D60BC" w:rsidRPr="00B50749" w:rsidSect="00926B82">
      <w:footerReference w:type="even" r:id="rId10"/>
      <w:footerReference w:type="default" r:id="rId11"/>
      <w:pgSz w:w="11906" w:h="16838"/>
      <w:pgMar w:top="899" w:right="1826" w:bottom="3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BC" w:rsidRDefault="000D60BC">
      <w:r>
        <w:separator/>
      </w:r>
    </w:p>
  </w:endnote>
  <w:endnote w:type="continuationSeparator" w:id="0">
    <w:p w:rsidR="000D60BC" w:rsidRDefault="000D6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45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BC" w:rsidRDefault="000D60BC" w:rsidP="00EA7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0BC" w:rsidRDefault="000D60BC" w:rsidP="00C94E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BC" w:rsidRPr="00C94EF3" w:rsidRDefault="000D60BC" w:rsidP="00EA7BBD">
    <w:pPr>
      <w:pStyle w:val="Footer"/>
      <w:framePr w:wrap="around" w:vAnchor="text" w:hAnchor="margin" w:xAlign="right" w:y="1"/>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p>
  <w:p w:rsidR="000D60BC" w:rsidRDefault="000D60BC" w:rsidP="00C94E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BC" w:rsidRDefault="000D60BC">
      <w:r>
        <w:separator/>
      </w:r>
    </w:p>
  </w:footnote>
  <w:footnote w:type="continuationSeparator" w:id="0">
    <w:p w:rsidR="000D60BC" w:rsidRDefault="000D60BC">
      <w:r>
        <w:continuationSeparator/>
      </w:r>
    </w:p>
  </w:footnote>
  <w:footnote w:id="1">
    <w:p w:rsidR="000D60BC" w:rsidRDefault="000D60BC" w:rsidP="007E617D">
      <w:pPr>
        <w:pStyle w:val="NormalWeb"/>
        <w:spacing w:before="0" w:beforeAutospacing="0" w:after="0" w:afterAutospacing="0"/>
        <w:jc w:val="both"/>
        <w:textAlignment w:val="baseline"/>
      </w:pPr>
      <w:r w:rsidRPr="00B50749">
        <w:rPr>
          <w:rFonts w:ascii="Arial" w:hAnsi="Arial" w:cs="Arial"/>
          <w:kern w:val="24"/>
          <w:sz w:val="16"/>
          <w:szCs w:val="16"/>
          <w:vertAlign w:val="superscript"/>
          <w:lang w:val="da-DK"/>
        </w:rPr>
        <w:t>1</w:t>
      </w:r>
      <w:r w:rsidRPr="005B6FC9">
        <w:rPr>
          <w:rFonts w:ascii="Arial" w:hAnsi="Arial" w:cs="Arial"/>
          <w:kern w:val="24"/>
          <w:sz w:val="16"/>
          <w:szCs w:val="16"/>
          <w:vertAlign w:val="superscript"/>
          <w:lang w:val="da-DK"/>
        </w:rPr>
        <w:t xml:space="preserve"> </w:t>
      </w:r>
      <w:r w:rsidRPr="005B6FC9">
        <w:rPr>
          <w:rFonts w:ascii="Arial" w:hAnsi="Arial" w:cs="Arial"/>
          <w:kern w:val="24"/>
          <w:sz w:val="16"/>
          <w:szCs w:val="16"/>
          <w:lang w:val="da-DK"/>
        </w:rPr>
        <w:t xml:space="preserve">De viste kilometertal for henviser til måling af </w:t>
      </w:r>
      <w:r w:rsidRPr="005B6FC9">
        <w:rPr>
          <w:rFonts w:ascii="Arial" w:hAnsi="Arial" w:cs="Arial"/>
          <w:sz w:val="16"/>
          <w:szCs w:val="16"/>
          <w:lang w:val="da-DK"/>
        </w:rPr>
        <w:t>gennemsnittet for begge aksler under forsøg hos BLG Logistics</w:t>
      </w:r>
      <w:r w:rsidRPr="005B6FC9">
        <w:rPr>
          <w:rFonts w:ascii="Arial" w:hAnsi="Arial" w:cs="Arial"/>
          <w:kern w:val="24"/>
          <w:sz w:val="16"/>
          <w:szCs w:val="16"/>
          <w:lang w:val="da-DK"/>
        </w:rPr>
        <w:t xml:space="preserve"> med dækstørrelse 245/70R17.5</w:t>
      </w:r>
      <w:r w:rsidRPr="005B6FC9">
        <w:rPr>
          <w:rFonts w:ascii="Arial" w:hAnsi="Arial" w:cs="Arial"/>
          <w:sz w:val="16"/>
          <w:szCs w:val="16"/>
          <w:lang w:val="da-DK"/>
        </w:rPr>
        <w:t xml:space="preserve">. </w:t>
      </w:r>
      <w:r w:rsidRPr="005B6FC9">
        <w:rPr>
          <w:rFonts w:ascii="Arial" w:hAnsi="Arial" w:cs="Arial"/>
          <w:kern w:val="24"/>
          <w:sz w:val="16"/>
          <w:szCs w:val="16"/>
          <w:lang w:val="da-DK"/>
        </w:rPr>
        <w:t xml:space="preserve">Alle de øvrige tal for sammenlignet performance er baseret på interne vurderinger foretaget på Goodyear Innovation Center Luxembourg i løbet af 2010 og 2011 med dækstørrelse 245/70R17.5.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B9B"/>
    <w:multiLevelType w:val="hybridMultilevel"/>
    <w:tmpl w:val="2056D7BC"/>
    <w:lvl w:ilvl="0" w:tplc="E828D9CC">
      <w:start w:val="1"/>
      <w:numFmt w:val="bullet"/>
      <w:lvlText w:val="•"/>
      <w:lvlJc w:val="left"/>
      <w:pPr>
        <w:tabs>
          <w:tab w:val="num" w:pos="720"/>
        </w:tabs>
        <w:ind w:left="720" w:hanging="360"/>
      </w:pPr>
      <w:rPr>
        <w:rFonts w:ascii="Times New Roman" w:hAnsi="Times New Roman" w:hint="default"/>
      </w:rPr>
    </w:lvl>
    <w:lvl w:ilvl="1" w:tplc="ED183A0E" w:tentative="1">
      <w:start w:val="1"/>
      <w:numFmt w:val="bullet"/>
      <w:lvlText w:val="•"/>
      <w:lvlJc w:val="left"/>
      <w:pPr>
        <w:tabs>
          <w:tab w:val="num" w:pos="1440"/>
        </w:tabs>
        <w:ind w:left="1440" w:hanging="360"/>
      </w:pPr>
      <w:rPr>
        <w:rFonts w:ascii="Times New Roman" w:hAnsi="Times New Roman" w:hint="default"/>
      </w:rPr>
    </w:lvl>
    <w:lvl w:ilvl="2" w:tplc="97BCA1D8" w:tentative="1">
      <w:start w:val="1"/>
      <w:numFmt w:val="bullet"/>
      <w:lvlText w:val="•"/>
      <w:lvlJc w:val="left"/>
      <w:pPr>
        <w:tabs>
          <w:tab w:val="num" w:pos="2160"/>
        </w:tabs>
        <w:ind w:left="2160" w:hanging="360"/>
      </w:pPr>
      <w:rPr>
        <w:rFonts w:ascii="Times New Roman" w:hAnsi="Times New Roman" w:hint="default"/>
      </w:rPr>
    </w:lvl>
    <w:lvl w:ilvl="3" w:tplc="47923A76" w:tentative="1">
      <w:start w:val="1"/>
      <w:numFmt w:val="bullet"/>
      <w:lvlText w:val="•"/>
      <w:lvlJc w:val="left"/>
      <w:pPr>
        <w:tabs>
          <w:tab w:val="num" w:pos="2880"/>
        </w:tabs>
        <w:ind w:left="2880" w:hanging="360"/>
      </w:pPr>
      <w:rPr>
        <w:rFonts w:ascii="Times New Roman" w:hAnsi="Times New Roman" w:hint="default"/>
      </w:rPr>
    </w:lvl>
    <w:lvl w:ilvl="4" w:tplc="20E2FA9C" w:tentative="1">
      <w:start w:val="1"/>
      <w:numFmt w:val="bullet"/>
      <w:lvlText w:val="•"/>
      <w:lvlJc w:val="left"/>
      <w:pPr>
        <w:tabs>
          <w:tab w:val="num" w:pos="3600"/>
        </w:tabs>
        <w:ind w:left="3600" w:hanging="360"/>
      </w:pPr>
      <w:rPr>
        <w:rFonts w:ascii="Times New Roman" w:hAnsi="Times New Roman" w:hint="default"/>
      </w:rPr>
    </w:lvl>
    <w:lvl w:ilvl="5" w:tplc="F3F0CF62" w:tentative="1">
      <w:start w:val="1"/>
      <w:numFmt w:val="bullet"/>
      <w:lvlText w:val="•"/>
      <w:lvlJc w:val="left"/>
      <w:pPr>
        <w:tabs>
          <w:tab w:val="num" w:pos="4320"/>
        </w:tabs>
        <w:ind w:left="4320" w:hanging="360"/>
      </w:pPr>
      <w:rPr>
        <w:rFonts w:ascii="Times New Roman" w:hAnsi="Times New Roman" w:hint="default"/>
      </w:rPr>
    </w:lvl>
    <w:lvl w:ilvl="6" w:tplc="5E7652F6" w:tentative="1">
      <w:start w:val="1"/>
      <w:numFmt w:val="bullet"/>
      <w:lvlText w:val="•"/>
      <w:lvlJc w:val="left"/>
      <w:pPr>
        <w:tabs>
          <w:tab w:val="num" w:pos="5040"/>
        </w:tabs>
        <w:ind w:left="5040" w:hanging="360"/>
      </w:pPr>
      <w:rPr>
        <w:rFonts w:ascii="Times New Roman" w:hAnsi="Times New Roman" w:hint="default"/>
      </w:rPr>
    </w:lvl>
    <w:lvl w:ilvl="7" w:tplc="30687B30" w:tentative="1">
      <w:start w:val="1"/>
      <w:numFmt w:val="bullet"/>
      <w:lvlText w:val="•"/>
      <w:lvlJc w:val="left"/>
      <w:pPr>
        <w:tabs>
          <w:tab w:val="num" w:pos="5760"/>
        </w:tabs>
        <w:ind w:left="5760" w:hanging="360"/>
      </w:pPr>
      <w:rPr>
        <w:rFonts w:ascii="Times New Roman" w:hAnsi="Times New Roman" w:hint="default"/>
      </w:rPr>
    </w:lvl>
    <w:lvl w:ilvl="8" w:tplc="7828F6F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8">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9">
    <w:nsid w:val="55833EF3"/>
    <w:multiLevelType w:val="hybridMultilevel"/>
    <w:tmpl w:val="3EAE0ACC"/>
    <w:lvl w:ilvl="0" w:tplc="A3CC492A">
      <w:start w:val="1"/>
      <w:numFmt w:val="bullet"/>
      <w:lvlText w:val="•"/>
      <w:lvlJc w:val="left"/>
      <w:pPr>
        <w:tabs>
          <w:tab w:val="num" w:pos="720"/>
        </w:tabs>
        <w:ind w:left="720" w:hanging="360"/>
      </w:pPr>
      <w:rPr>
        <w:rFonts w:ascii="Times New Roman" w:hAnsi="Times New Roman" w:hint="default"/>
      </w:rPr>
    </w:lvl>
    <w:lvl w:ilvl="1" w:tplc="5DA4B93E" w:tentative="1">
      <w:start w:val="1"/>
      <w:numFmt w:val="bullet"/>
      <w:lvlText w:val="•"/>
      <w:lvlJc w:val="left"/>
      <w:pPr>
        <w:tabs>
          <w:tab w:val="num" w:pos="1440"/>
        </w:tabs>
        <w:ind w:left="1440" w:hanging="360"/>
      </w:pPr>
      <w:rPr>
        <w:rFonts w:ascii="Times New Roman" w:hAnsi="Times New Roman" w:hint="default"/>
      </w:rPr>
    </w:lvl>
    <w:lvl w:ilvl="2" w:tplc="0FD01D3E">
      <w:start w:val="1"/>
      <w:numFmt w:val="bullet"/>
      <w:lvlText w:val="•"/>
      <w:lvlJc w:val="left"/>
      <w:pPr>
        <w:tabs>
          <w:tab w:val="num" w:pos="2160"/>
        </w:tabs>
        <w:ind w:left="2160" w:hanging="360"/>
      </w:pPr>
      <w:rPr>
        <w:rFonts w:ascii="Times New Roman" w:hAnsi="Times New Roman" w:hint="default"/>
      </w:rPr>
    </w:lvl>
    <w:lvl w:ilvl="3" w:tplc="5D42250C" w:tentative="1">
      <w:start w:val="1"/>
      <w:numFmt w:val="bullet"/>
      <w:lvlText w:val="•"/>
      <w:lvlJc w:val="left"/>
      <w:pPr>
        <w:tabs>
          <w:tab w:val="num" w:pos="2880"/>
        </w:tabs>
        <w:ind w:left="2880" w:hanging="360"/>
      </w:pPr>
      <w:rPr>
        <w:rFonts w:ascii="Times New Roman" w:hAnsi="Times New Roman" w:hint="default"/>
      </w:rPr>
    </w:lvl>
    <w:lvl w:ilvl="4" w:tplc="C7C41CAC" w:tentative="1">
      <w:start w:val="1"/>
      <w:numFmt w:val="bullet"/>
      <w:lvlText w:val="•"/>
      <w:lvlJc w:val="left"/>
      <w:pPr>
        <w:tabs>
          <w:tab w:val="num" w:pos="3600"/>
        </w:tabs>
        <w:ind w:left="3600" w:hanging="360"/>
      </w:pPr>
      <w:rPr>
        <w:rFonts w:ascii="Times New Roman" w:hAnsi="Times New Roman" w:hint="default"/>
      </w:rPr>
    </w:lvl>
    <w:lvl w:ilvl="5" w:tplc="51F6D058" w:tentative="1">
      <w:start w:val="1"/>
      <w:numFmt w:val="bullet"/>
      <w:lvlText w:val="•"/>
      <w:lvlJc w:val="left"/>
      <w:pPr>
        <w:tabs>
          <w:tab w:val="num" w:pos="4320"/>
        </w:tabs>
        <w:ind w:left="4320" w:hanging="360"/>
      </w:pPr>
      <w:rPr>
        <w:rFonts w:ascii="Times New Roman" w:hAnsi="Times New Roman" w:hint="default"/>
      </w:rPr>
    </w:lvl>
    <w:lvl w:ilvl="6" w:tplc="51BAC3DE" w:tentative="1">
      <w:start w:val="1"/>
      <w:numFmt w:val="bullet"/>
      <w:lvlText w:val="•"/>
      <w:lvlJc w:val="left"/>
      <w:pPr>
        <w:tabs>
          <w:tab w:val="num" w:pos="5040"/>
        </w:tabs>
        <w:ind w:left="5040" w:hanging="360"/>
      </w:pPr>
      <w:rPr>
        <w:rFonts w:ascii="Times New Roman" w:hAnsi="Times New Roman" w:hint="default"/>
      </w:rPr>
    </w:lvl>
    <w:lvl w:ilvl="7" w:tplc="8CC0495C" w:tentative="1">
      <w:start w:val="1"/>
      <w:numFmt w:val="bullet"/>
      <w:lvlText w:val="•"/>
      <w:lvlJc w:val="left"/>
      <w:pPr>
        <w:tabs>
          <w:tab w:val="num" w:pos="5760"/>
        </w:tabs>
        <w:ind w:left="5760" w:hanging="360"/>
      </w:pPr>
      <w:rPr>
        <w:rFonts w:ascii="Times New Roman" w:hAnsi="Times New Roman" w:hint="default"/>
      </w:rPr>
    </w:lvl>
    <w:lvl w:ilvl="8" w:tplc="D85A806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2"/>
  </w:num>
  <w:num w:numId="4">
    <w:abstractNumId w:val="7"/>
  </w:num>
  <w:num w:numId="5">
    <w:abstractNumId w:val="3"/>
  </w:num>
  <w:num w:numId="6">
    <w:abstractNumId w:val="4"/>
  </w:num>
  <w:num w:numId="7">
    <w:abstractNumId w:val="1"/>
  </w:num>
  <w:num w:numId="8">
    <w:abstractNumId w:val="5"/>
  </w:num>
  <w:num w:numId="9">
    <w:abstractNumId w:val="8"/>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420"/>
    <w:rsid w:val="00001B42"/>
    <w:rsid w:val="00002775"/>
    <w:rsid w:val="00005E81"/>
    <w:rsid w:val="000061D9"/>
    <w:rsid w:val="000127A9"/>
    <w:rsid w:val="00016714"/>
    <w:rsid w:val="000228E5"/>
    <w:rsid w:val="00022C30"/>
    <w:rsid w:val="000257F7"/>
    <w:rsid w:val="00026DD6"/>
    <w:rsid w:val="0002743A"/>
    <w:rsid w:val="00031AF7"/>
    <w:rsid w:val="000329B4"/>
    <w:rsid w:val="000348C5"/>
    <w:rsid w:val="00036151"/>
    <w:rsid w:val="00045C10"/>
    <w:rsid w:val="00054152"/>
    <w:rsid w:val="00055168"/>
    <w:rsid w:val="00060577"/>
    <w:rsid w:val="00061676"/>
    <w:rsid w:val="00063F75"/>
    <w:rsid w:val="00064362"/>
    <w:rsid w:val="00085072"/>
    <w:rsid w:val="0009297A"/>
    <w:rsid w:val="000B1F08"/>
    <w:rsid w:val="000C3351"/>
    <w:rsid w:val="000C7430"/>
    <w:rsid w:val="000D1A4E"/>
    <w:rsid w:val="000D60BC"/>
    <w:rsid w:val="000E1485"/>
    <w:rsid w:val="000E1EFF"/>
    <w:rsid w:val="000F6ADF"/>
    <w:rsid w:val="00103573"/>
    <w:rsid w:val="001119C2"/>
    <w:rsid w:val="00112637"/>
    <w:rsid w:val="001238B6"/>
    <w:rsid w:val="0012391E"/>
    <w:rsid w:val="00135CE7"/>
    <w:rsid w:val="00154975"/>
    <w:rsid w:val="00181A19"/>
    <w:rsid w:val="001A3CF3"/>
    <w:rsid w:val="001A5CF5"/>
    <w:rsid w:val="001A61F6"/>
    <w:rsid w:val="001B0336"/>
    <w:rsid w:val="001B365B"/>
    <w:rsid w:val="001C3C46"/>
    <w:rsid w:val="001C4FE4"/>
    <w:rsid w:val="001C5161"/>
    <w:rsid w:val="001D42A8"/>
    <w:rsid w:val="001D4420"/>
    <w:rsid w:val="001E02C9"/>
    <w:rsid w:val="001E2B76"/>
    <w:rsid w:val="001E3630"/>
    <w:rsid w:val="001E619A"/>
    <w:rsid w:val="001F13E9"/>
    <w:rsid w:val="001F2A0E"/>
    <w:rsid w:val="001F6F88"/>
    <w:rsid w:val="001F7542"/>
    <w:rsid w:val="00203748"/>
    <w:rsid w:val="00206391"/>
    <w:rsid w:val="002077F3"/>
    <w:rsid w:val="00212FEB"/>
    <w:rsid w:val="002134C4"/>
    <w:rsid w:val="00224FF9"/>
    <w:rsid w:val="0023460E"/>
    <w:rsid w:val="00237A07"/>
    <w:rsid w:val="002432FC"/>
    <w:rsid w:val="0024528E"/>
    <w:rsid w:val="00246208"/>
    <w:rsid w:val="00251580"/>
    <w:rsid w:val="00252618"/>
    <w:rsid w:val="00263229"/>
    <w:rsid w:val="00265570"/>
    <w:rsid w:val="00267DDD"/>
    <w:rsid w:val="00270C70"/>
    <w:rsid w:val="00272DC8"/>
    <w:rsid w:val="0027475E"/>
    <w:rsid w:val="00274EBB"/>
    <w:rsid w:val="002754FF"/>
    <w:rsid w:val="0028260C"/>
    <w:rsid w:val="002875AD"/>
    <w:rsid w:val="00290A52"/>
    <w:rsid w:val="00295F3A"/>
    <w:rsid w:val="002A27F7"/>
    <w:rsid w:val="002A6767"/>
    <w:rsid w:val="002A7669"/>
    <w:rsid w:val="002B6ED4"/>
    <w:rsid w:val="002D130D"/>
    <w:rsid w:val="002D240B"/>
    <w:rsid w:val="002D2B9D"/>
    <w:rsid w:val="002D4050"/>
    <w:rsid w:val="002D7A0F"/>
    <w:rsid w:val="002E680B"/>
    <w:rsid w:val="002F03B6"/>
    <w:rsid w:val="002F0CFC"/>
    <w:rsid w:val="002F5063"/>
    <w:rsid w:val="003002BE"/>
    <w:rsid w:val="00302BC6"/>
    <w:rsid w:val="003049B7"/>
    <w:rsid w:val="00307DCC"/>
    <w:rsid w:val="0031511C"/>
    <w:rsid w:val="003215BA"/>
    <w:rsid w:val="00331C29"/>
    <w:rsid w:val="003348C9"/>
    <w:rsid w:val="003561DE"/>
    <w:rsid w:val="00360CAF"/>
    <w:rsid w:val="00365573"/>
    <w:rsid w:val="003804E1"/>
    <w:rsid w:val="0038180B"/>
    <w:rsid w:val="00387E2C"/>
    <w:rsid w:val="003A6449"/>
    <w:rsid w:val="003B02BF"/>
    <w:rsid w:val="003B3398"/>
    <w:rsid w:val="003B466E"/>
    <w:rsid w:val="003B71CA"/>
    <w:rsid w:val="003B76C9"/>
    <w:rsid w:val="003C11FC"/>
    <w:rsid w:val="003D0F87"/>
    <w:rsid w:val="003D5CE3"/>
    <w:rsid w:val="003E3FF6"/>
    <w:rsid w:val="003F2B93"/>
    <w:rsid w:val="003F3F71"/>
    <w:rsid w:val="003F63DC"/>
    <w:rsid w:val="00400B6F"/>
    <w:rsid w:val="00400FA2"/>
    <w:rsid w:val="00420769"/>
    <w:rsid w:val="004247B3"/>
    <w:rsid w:val="0043404E"/>
    <w:rsid w:val="004349DC"/>
    <w:rsid w:val="00444EE6"/>
    <w:rsid w:val="00445D9E"/>
    <w:rsid w:val="00446E88"/>
    <w:rsid w:val="004475B7"/>
    <w:rsid w:val="00447FFA"/>
    <w:rsid w:val="00467059"/>
    <w:rsid w:val="00474002"/>
    <w:rsid w:val="00475F06"/>
    <w:rsid w:val="00487738"/>
    <w:rsid w:val="00491A8C"/>
    <w:rsid w:val="004B7FB9"/>
    <w:rsid w:val="004C18DD"/>
    <w:rsid w:val="004C220D"/>
    <w:rsid w:val="004C3A55"/>
    <w:rsid w:val="004D5EAA"/>
    <w:rsid w:val="004D7886"/>
    <w:rsid w:val="004E03A3"/>
    <w:rsid w:val="004E2C2E"/>
    <w:rsid w:val="004E42E0"/>
    <w:rsid w:val="004E59B0"/>
    <w:rsid w:val="005019ED"/>
    <w:rsid w:val="00501E99"/>
    <w:rsid w:val="00502493"/>
    <w:rsid w:val="00505DB4"/>
    <w:rsid w:val="00506E1D"/>
    <w:rsid w:val="00512924"/>
    <w:rsid w:val="005173A6"/>
    <w:rsid w:val="00524968"/>
    <w:rsid w:val="00544B72"/>
    <w:rsid w:val="005461AB"/>
    <w:rsid w:val="00546855"/>
    <w:rsid w:val="0055240C"/>
    <w:rsid w:val="00555AEF"/>
    <w:rsid w:val="005679A3"/>
    <w:rsid w:val="00577A0F"/>
    <w:rsid w:val="00577DCB"/>
    <w:rsid w:val="00583ACF"/>
    <w:rsid w:val="005A3669"/>
    <w:rsid w:val="005A4929"/>
    <w:rsid w:val="005A71E3"/>
    <w:rsid w:val="005B0285"/>
    <w:rsid w:val="005B0E61"/>
    <w:rsid w:val="005B1B9B"/>
    <w:rsid w:val="005B2784"/>
    <w:rsid w:val="005B3B1C"/>
    <w:rsid w:val="005B6FC9"/>
    <w:rsid w:val="005C3870"/>
    <w:rsid w:val="005C48D2"/>
    <w:rsid w:val="005D31B4"/>
    <w:rsid w:val="005D6023"/>
    <w:rsid w:val="005D7C61"/>
    <w:rsid w:val="005F2BAD"/>
    <w:rsid w:val="005F4F61"/>
    <w:rsid w:val="006004A7"/>
    <w:rsid w:val="00601AC6"/>
    <w:rsid w:val="00611A73"/>
    <w:rsid w:val="00621F63"/>
    <w:rsid w:val="00623409"/>
    <w:rsid w:val="00625928"/>
    <w:rsid w:val="00633714"/>
    <w:rsid w:val="00635730"/>
    <w:rsid w:val="00655BF9"/>
    <w:rsid w:val="00656A78"/>
    <w:rsid w:val="0066469D"/>
    <w:rsid w:val="006748AE"/>
    <w:rsid w:val="00682D61"/>
    <w:rsid w:val="00685162"/>
    <w:rsid w:val="0069178E"/>
    <w:rsid w:val="006955E8"/>
    <w:rsid w:val="006A57A3"/>
    <w:rsid w:val="006A596B"/>
    <w:rsid w:val="006A5FBF"/>
    <w:rsid w:val="006B2394"/>
    <w:rsid w:val="006B28D4"/>
    <w:rsid w:val="006D013F"/>
    <w:rsid w:val="006D5B1A"/>
    <w:rsid w:val="006E13E1"/>
    <w:rsid w:val="006E321F"/>
    <w:rsid w:val="006E717A"/>
    <w:rsid w:val="006F3677"/>
    <w:rsid w:val="006F447E"/>
    <w:rsid w:val="0070771B"/>
    <w:rsid w:val="00715EA2"/>
    <w:rsid w:val="007303EC"/>
    <w:rsid w:val="0073368E"/>
    <w:rsid w:val="007420DB"/>
    <w:rsid w:val="0074495D"/>
    <w:rsid w:val="00746B97"/>
    <w:rsid w:val="00753359"/>
    <w:rsid w:val="00753686"/>
    <w:rsid w:val="007552DA"/>
    <w:rsid w:val="007774A8"/>
    <w:rsid w:val="007776AA"/>
    <w:rsid w:val="00780EED"/>
    <w:rsid w:val="00782C8E"/>
    <w:rsid w:val="007877AE"/>
    <w:rsid w:val="00794A91"/>
    <w:rsid w:val="007A058B"/>
    <w:rsid w:val="007A131C"/>
    <w:rsid w:val="007A2751"/>
    <w:rsid w:val="007B1CE8"/>
    <w:rsid w:val="007B4BEF"/>
    <w:rsid w:val="007B685C"/>
    <w:rsid w:val="007C1C3B"/>
    <w:rsid w:val="007C407D"/>
    <w:rsid w:val="007C7780"/>
    <w:rsid w:val="007E1749"/>
    <w:rsid w:val="007E3444"/>
    <w:rsid w:val="007E548D"/>
    <w:rsid w:val="007E617D"/>
    <w:rsid w:val="007F1B76"/>
    <w:rsid w:val="007F4BFE"/>
    <w:rsid w:val="007F5B6D"/>
    <w:rsid w:val="00801F74"/>
    <w:rsid w:val="008026B3"/>
    <w:rsid w:val="00806F15"/>
    <w:rsid w:val="008073C1"/>
    <w:rsid w:val="008163F9"/>
    <w:rsid w:val="008202D9"/>
    <w:rsid w:val="008364E8"/>
    <w:rsid w:val="00836A6F"/>
    <w:rsid w:val="00840B3F"/>
    <w:rsid w:val="008420B1"/>
    <w:rsid w:val="00842428"/>
    <w:rsid w:val="008434FF"/>
    <w:rsid w:val="008440E8"/>
    <w:rsid w:val="00850BD9"/>
    <w:rsid w:val="00856215"/>
    <w:rsid w:val="00865C83"/>
    <w:rsid w:val="00871336"/>
    <w:rsid w:val="008758E3"/>
    <w:rsid w:val="0088057F"/>
    <w:rsid w:val="00892226"/>
    <w:rsid w:val="008A0802"/>
    <w:rsid w:val="008A1203"/>
    <w:rsid w:val="008A1E07"/>
    <w:rsid w:val="008A3B24"/>
    <w:rsid w:val="008B2AFA"/>
    <w:rsid w:val="008B3AA5"/>
    <w:rsid w:val="008D2AED"/>
    <w:rsid w:val="008D709E"/>
    <w:rsid w:val="008D7F61"/>
    <w:rsid w:val="008E5A93"/>
    <w:rsid w:val="008E5EC6"/>
    <w:rsid w:val="008E758C"/>
    <w:rsid w:val="008F5B7A"/>
    <w:rsid w:val="008F5DFE"/>
    <w:rsid w:val="0090011E"/>
    <w:rsid w:val="00900B72"/>
    <w:rsid w:val="009012BF"/>
    <w:rsid w:val="009013AA"/>
    <w:rsid w:val="00904D1A"/>
    <w:rsid w:val="00907B1C"/>
    <w:rsid w:val="00907F4E"/>
    <w:rsid w:val="009245FB"/>
    <w:rsid w:val="00926B82"/>
    <w:rsid w:val="00926E18"/>
    <w:rsid w:val="0092701A"/>
    <w:rsid w:val="00935935"/>
    <w:rsid w:val="0094230D"/>
    <w:rsid w:val="00944D9D"/>
    <w:rsid w:val="00955E19"/>
    <w:rsid w:val="00956B5B"/>
    <w:rsid w:val="009636FE"/>
    <w:rsid w:val="00964FA9"/>
    <w:rsid w:val="00972906"/>
    <w:rsid w:val="009730B9"/>
    <w:rsid w:val="00973C5D"/>
    <w:rsid w:val="00981E73"/>
    <w:rsid w:val="00986CF3"/>
    <w:rsid w:val="009A552F"/>
    <w:rsid w:val="009A6432"/>
    <w:rsid w:val="009C0EF5"/>
    <w:rsid w:val="009C2BB2"/>
    <w:rsid w:val="009C754B"/>
    <w:rsid w:val="009D1687"/>
    <w:rsid w:val="009D4A2C"/>
    <w:rsid w:val="009D59DA"/>
    <w:rsid w:val="009E4E64"/>
    <w:rsid w:val="009F201D"/>
    <w:rsid w:val="00A01059"/>
    <w:rsid w:val="00A07FEB"/>
    <w:rsid w:val="00A136C1"/>
    <w:rsid w:val="00A17A2F"/>
    <w:rsid w:val="00A33300"/>
    <w:rsid w:val="00A334DA"/>
    <w:rsid w:val="00A361E7"/>
    <w:rsid w:val="00A3782A"/>
    <w:rsid w:val="00A4322B"/>
    <w:rsid w:val="00A50012"/>
    <w:rsid w:val="00A53505"/>
    <w:rsid w:val="00A53575"/>
    <w:rsid w:val="00A7015D"/>
    <w:rsid w:val="00A7533D"/>
    <w:rsid w:val="00A80FDA"/>
    <w:rsid w:val="00A83F62"/>
    <w:rsid w:val="00A84A79"/>
    <w:rsid w:val="00A90468"/>
    <w:rsid w:val="00AA3677"/>
    <w:rsid w:val="00AA66EA"/>
    <w:rsid w:val="00AB17CF"/>
    <w:rsid w:val="00AB25A1"/>
    <w:rsid w:val="00AB2B7C"/>
    <w:rsid w:val="00AB2B9D"/>
    <w:rsid w:val="00AB4C88"/>
    <w:rsid w:val="00AB7E90"/>
    <w:rsid w:val="00AC1C3E"/>
    <w:rsid w:val="00AD3821"/>
    <w:rsid w:val="00AD6251"/>
    <w:rsid w:val="00AF213A"/>
    <w:rsid w:val="00B04CD1"/>
    <w:rsid w:val="00B05B16"/>
    <w:rsid w:val="00B40F1D"/>
    <w:rsid w:val="00B46180"/>
    <w:rsid w:val="00B50749"/>
    <w:rsid w:val="00B71D89"/>
    <w:rsid w:val="00B728D3"/>
    <w:rsid w:val="00B81578"/>
    <w:rsid w:val="00B82F1A"/>
    <w:rsid w:val="00B83FE6"/>
    <w:rsid w:val="00B85E0E"/>
    <w:rsid w:val="00B90970"/>
    <w:rsid w:val="00B93F4F"/>
    <w:rsid w:val="00B961A6"/>
    <w:rsid w:val="00B966DF"/>
    <w:rsid w:val="00BA05C5"/>
    <w:rsid w:val="00BA1A68"/>
    <w:rsid w:val="00BA6BD4"/>
    <w:rsid w:val="00BF1FD8"/>
    <w:rsid w:val="00BF3EAD"/>
    <w:rsid w:val="00BF417F"/>
    <w:rsid w:val="00C025DA"/>
    <w:rsid w:val="00C047D1"/>
    <w:rsid w:val="00C06795"/>
    <w:rsid w:val="00C15B42"/>
    <w:rsid w:val="00C409CD"/>
    <w:rsid w:val="00C6110F"/>
    <w:rsid w:val="00C62082"/>
    <w:rsid w:val="00C6290A"/>
    <w:rsid w:val="00C651B2"/>
    <w:rsid w:val="00C67983"/>
    <w:rsid w:val="00C75469"/>
    <w:rsid w:val="00C77159"/>
    <w:rsid w:val="00C84BDF"/>
    <w:rsid w:val="00C94EF3"/>
    <w:rsid w:val="00CB0035"/>
    <w:rsid w:val="00CE1FAC"/>
    <w:rsid w:val="00CE3291"/>
    <w:rsid w:val="00CE7183"/>
    <w:rsid w:val="00CF06B9"/>
    <w:rsid w:val="00CF1510"/>
    <w:rsid w:val="00CF43FF"/>
    <w:rsid w:val="00CF7479"/>
    <w:rsid w:val="00D00A89"/>
    <w:rsid w:val="00D0222D"/>
    <w:rsid w:val="00D05A78"/>
    <w:rsid w:val="00D073C9"/>
    <w:rsid w:val="00D12CB0"/>
    <w:rsid w:val="00D24D72"/>
    <w:rsid w:val="00D332B5"/>
    <w:rsid w:val="00D44A1D"/>
    <w:rsid w:val="00D62CD2"/>
    <w:rsid w:val="00D65007"/>
    <w:rsid w:val="00D73F6F"/>
    <w:rsid w:val="00D800DC"/>
    <w:rsid w:val="00D8014E"/>
    <w:rsid w:val="00D856E6"/>
    <w:rsid w:val="00DA063D"/>
    <w:rsid w:val="00DA1CEC"/>
    <w:rsid w:val="00DB0A8A"/>
    <w:rsid w:val="00DB1643"/>
    <w:rsid w:val="00DB45C2"/>
    <w:rsid w:val="00DC08FD"/>
    <w:rsid w:val="00DC49C5"/>
    <w:rsid w:val="00DC4A68"/>
    <w:rsid w:val="00DC76A0"/>
    <w:rsid w:val="00DD0ECB"/>
    <w:rsid w:val="00DD0F1B"/>
    <w:rsid w:val="00DD17DD"/>
    <w:rsid w:val="00DE3166"/>
    <w:rsid w:val="00DE69A2"/>
    <w:rsid w:val="00DF33D7"/>
    <w:rsid w:val="00DF4DBB"/>
    <w:rsid w:val="00DF4E54"/>
    <w:rsid w:val="00DF593A"/>
    <w:rsid w:val="00E06FD3"/>
    <w:rsid w:val="00E07963"/>
    <w:rsid w:val="00E107C9"/>
    <w:rsid w:val="00E13C71"/>
    <w:rsid w:val="00E15C42"/>
    <w:rsid w:val="00E221D1"/>
    <w:rsid w:val="00E23B6F"/>
    <w:rsid w:val="00E25B8D"/>
    <w:rsid w:val="00E2723C"/>
    <w:rsid w:val="00E31200"/>
    <w:rsid w:val="00E31FEB"/>
    <w:rsid w:val="00E32159"/>
    <w:rsid w:val="00E33924"/>
    <w:rsid w:val="00E364EF"/>
    <w:rsid w:val="00E51009"/>
    <w:rsid w:val="00E536D8"/>
    <w:rsid w:val="00E64396"/>
    <w:rsid w:val="00E7182A"/>
    <w:rsid w:val="00E8048D"/>
    <w:rsid w:val="00E82B15"/>
    <w:rsid w:val="00E92E90"/>
    <w:rsid w:val="00E954D4"/>
    <w:rsid w:val="00EA032E"/>
    <w:rsid w:val="00EA0352"/>
    <w:rsid w:val="00EA18DE"/>
    <w:rsid w:val="00EA7BBD"/>
    <w:rsid w:val="00EB2E39"/>
    <w:rsid w:val="00EB2EBE"/>
    <w:rsid w:val="00EC2D18"/>
    <w:rsid w:val="00EC5271"/>
    <w:rsid w:val="00ED7DA0"/>
    <w:rsid w:val="00EE6CD8"/>
    <w:rsid w:val="00EF0C67"/>
    <w:rsid w:val="00EF567F"/>
    <w:rsid w:val="00EF7282"/>
    <w:rsid w:val="00EF7539"/>
    <w:rsid w:val="00F05E13"/>
    <w:rsid w:val="00F146D9"/>
    <w:rsid w:val="00F15176"/>
    <w:rsid w:val="00F15420"/>
    <w:rsid w:val="00F1690A"/>
    <w:rsid w:val="00F20B85"/>
    <w:rsid w:val="00F2527A"/>
    <w:rsid w:val="00F26C46"/>
    <w:rsid w:val="00F27C41"/>
    <w:rsid w:val="00F31E6D"/>
    <w:rsid w:val="00F32B88"/>
    <w:rsid w:val="00F47F53"/>
    <w:rsid w:val="00F51CDC"/>
    <w:rsid w:val="00F552A7"/>
    <w:rsid w:val="00F569CC"/>
    <w:rsid w:val="00F618B2"/>
    <w:rsid w:val="00F65224"/>
    <w:rsid w:val="00F653BC"/>
    <w:rsid w:val="00F65816"/>
    <w:rsid w:val="00F76837"/>
    <w:rsid w:val="00F81006"/>
    <w:rsid w:val="00F82609"/>
    <w:rsid w:val="00F87129"/>
    <w:rsid w:val="00F92495"/>
    <w:rsid w:val="00F9521D"/>
    <w:rsid w:val="00F96FFE"/>
    <w:rsid w:val="00FA0DBA"/>
    <w:rsid w:val="00FA13DE"/>
    <w:rsid w:val="00FA3091"/>
    <w:rsid w:val="00FA4927"/>
    <w:rsid w:val="00FA664C"/>
    <w:rsid w:val="00FB0736"/>
    <w:rsid w:val="00FB20F8"/>
    <w:rsid w:val="00FB7809"/>
    <w:rsid w:val="00FC1141"/>
    <w:rsid w:val="00FC1222"/>
    <w:rsid w:val="00FC4889"/>
    <w:rsid w:val="00FC6018"/>
    <w:rsid w:val="00FF3E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DC"/>
    <w:rPr>
      <w:sz w:val="24"/>
      <w:szCs w:val="24"/>
      <w:lang w:val="en-GB"/>
    </w:rPr>
  </w:style>
  <w:style w:type="paragraph" w:styleId="Heading1">
    <w:name w:val="heading 1"/>
    <w:basedOn w:val="Normal"/>
    <w:next w:val="Normal"/>
    <w:link w:val="Heading1Char"/>
    <w:uiPriority w:val="99"/>
    <w:qFormat/>
    <w:rsid w:val="00224FF9"/>
    <w:pPr>
      <w:keepNext/>
      <w:jc w:val="both"/>
      <w:outlineLvl w:val="0"/>
    </w:pPr>
    <w:rPr>
      <w:rFonts w:ascii="Arial" w:hAnsi="Arial" w:cs="Arial"/>
      <w:b/>
      <w:bCs/>
    </w:rPr>
  </w:style>
  <w:style w:type="paragraph" w:styleId="Heading2">
    <w:name w:val="heading 2"/>
    <w:basedOn w:val="Normal"/>
    <w:next w:val="Normal"/>
    <w:link w:val="Heading2Char"/>
    <w:uiPriority w:val="99"/>
    <w:qFormat/>
    <w:rsid w:val="00224FF9"/>
    <w:pPr>
      <w:keepNext/>
      <w:ind w:left="-720"/>
      <w:jc w:val="both"/>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32B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332B5"/>
    <w:rPr>
      <w:rFonts w:ascii="Cambria" w:hAnsi="Cambria" w:cs="Times New Roman"/>
      <w:b/>
      <w:bCs/>
      <w:i/>
      <w:iCs/>
      <w:sz w:val="28"/>
      <w:szCs w:val="28"/>
      <w:lang w:eastAsia="en-US"/>
    </w:rPr>
  </w:style>
  <w:style w:type="paragraph" w:styleId="Title">
    <w:name w:val="Title"/>
    <w:basedOn w:val="Normal"/>
    <w:link w:val="TitleChar"/>
    <w:uiPriority w:val="99"/>
    <w:qFormat/>
    <w:rsid w:val="00224FF9"/>
    <w:pPr>
      <w:jc w:val="center"/>
    </w:pPr>
    <w:rPr>
      <w:rFonts w:ascii="Arial" w:hAnsi="Arial" w:cs="Arial"/>
      <w:b/>
      <w:bCs/>
    </w:rPr>
  </w:style>
  <w:style w:type="character" w:customStyle="1" w:styleId="TitleChar">
    <w:name w:val="Title Char"/>
    <w:basedOn w:val="DefaultParagraphFont"/>
    <w:link w:val="Title"/>
    <w:uiPriority w:val="99"/>
    <w:locked/>
    <w:rsid w:val="00D332B5"/>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224FF9"/>
    <w:pPr>
      <w:ind w:left="-720"/>
      <w:jc w:val="both"/>
    </w:pPr>
    <w:rPr>
      <w:rFonts w:ascii="Arial" w:hAnsi="Arial"/>
    </w:rPr>
  </w:style>
  <w:style w:type="character" w:customStyle="1" w:styleId="BodyTextIndentChar">
    <w:name w:val="Body Text Indent Char"/>
    <w:basedOn w:val="DefaultParagraphFont"/>
    <w:link w:val="BodyTextIndent"/>
    <w:uiPriority w:val="99"/>
    <w:semiHidden/>
    <w:locked/>
    <w:rsid w:val="00D332B5"/>
    <w:rPr>
      <w:rFonts w:cs="Times New Roman"/>
      <w:sz w:val="24"/>
      <w:szCs w:val="24"/>
      <w:lang w:eastAsia="en-US"/>
    </w:rPr>
  </w:style>
  <w:style w:type="paragraph" w:styleId="BalloonText">
    <w:name w:val="Balloon Text"/>
    <w:basedOn w:val="Normal"/>
    <w:link w:val="BalloonTextChar"/>
    <w:uiPriority w:val="99"/>
    <w:semiHidden/>
    <w:rsid w:val="00224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2B5"/>
    <w:rPr>
      <w:rFonts w:cs="Times New Roman"/>
      <w:sz w:val="2"/>
      <w:lang w:eastAsia="en-US"/>
    </w:rPr>
  </w:style>
  <w:style w:type="paragraph" w:styleId="NormalWeb">
    <w:name w:val="Normal (Web)"/>
    <w:basedOn w:val="Normal"/>
    <w:uiPriority w:val="99"/>
    <w:rsid w:val="006004A7"/>
    <w:pPr>
      <w:spacing w:before="100" w:beforeAutospacing="1" w:after="100" w:afterAutospacing="1"/>
    </w:pPr>
    <w:rPr>
      <w:lang w:eastAsia="en-GB"/>
    </w:rPr>
  </w:style>
  <w:style w:type="paragraph" w:styleId="BodyText">
    <w:name w:val="Body Text"/>
    <w:basedOn w:val="Normal"/>
    <w:link w:val="BodyTextChar"/>
    <w:uiPriority w:val="99"/>
    <w:rsid w:val="004B7FB9"/>
    <w:pPr>
      <w:spacing w:after="120"/>
    </w:pPr>
  </w:style>
  <w:style w:type="character" w:customStyle="1" w:styleId="BodyTextChar">
    <w:name w:val="Body Text Char"/>
    <w:basedOn w:val="DefaultParagraphFont"/>
    <w:link w:val="BodyText"/>
    <w:uiPriority w:val="99"/>
    <w:semiHidden/>
    <w:locked/>
    <w:rsid w:val="00D332B5"/>
    <w:rPr>
      <w:rFonts w:cs="Times New Roman"/>
      <w:sz w:val="24"/>
      <w:szCs w:val="24"/>
      <w:lang w:eastAsia="en-US"/>
    </w:rPr>
  </w:style>
  <w:style w:type="character" w:styleId="Hyperlink">
    <w:name w:val="Hyperlink"/>
    <w:basedOn w:val="DefaultParagraphFont"/>
    <w:uiPriority w:val="99"/>
    <w:rsid w:val="000061D9"/>
    <w:rPr>
      <w:rFonts w:cs="Times New Roman"/>
      <w:color w:val="0000FF"/>
      <w:u w:val="single"/>
    </w:rPr>
  </w:style>
  <w:style w:type="paragraph" w:customStyle="1" w:styleId="Contact">
    <w:name w:val="Contact"/>
    <w:basedOn w:val="Footer"/>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Normal"/>
    <w:uiPriority w:val="99"/>
    <w:rsid w:val="000061D9"/>
    <w:pPr>
      <w:widowControl w:val="0"/>
    </w:pPr>
    <w:rPr>
      <w:rFonts w:ascii="Arial" w:hAnsi="Arial" w:cs="Arial"/>
      <w:b/>
      <w:bCs/>
      <w:sz w:val="28"/>
      <w:szCs w:val="28"/>
      <w:lang w:eastAsia="en-GB"/>
    </w:rPr>
  </w:style>
  <w:style w:type="paragraph" w:styleId="Footer">
    <w:name w:val="footer"/>
    <w:basedOn w:val="Normal"/>
    <w:link w:val="FooterChar"/>
    <w:uiPriority w:val="99"/>
    <w:rsid w:val="000061D9"/>
    <w:pPr>
      <w:tabs>
        <w:tab w:val="center" w:pos="4153"/>
        <w:tab w:val="right" w:pos="8306"/>
      </w:tabs>
    </w:pPr>
  </w:style>
  <w:style w:type="character" w:customStyle="1" w:styleId="FooterChar">
    <w:name w:val="Footer Char"/>
    <w:basedOn w:val="DefaultParagraphFont"/>
    <w:link w:val="Footer"/>
    <w:uiPriority w:val="99"/>
    <w:semiHidden/>
    <w:locked/>
    <w:rsid w:val="00D332B5"/>
    <w:rPr>
      <w:rFonts w:cs="Times New Roman"/>
      <w:sz w:val="24"/>
      <w:szCs w:val="24"/>
      <w:lang w:eastAsia="en-US"/>
    </w:rPr>
  </w:style>
  <w:style w:type="table" w:styleId="TableGrid">
    <w:name w:val="Table Grid"/>
    <w:basedOn w:val="TableNormal"/>
    <w:uiPriority w:val="99"/>
    <w:rsid w:val="00334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743A"/>
    <w:pPr>
      <w:ind w:left="720"/>
      <w:contextualSpacing/>
    </w:pPr>
    <w:rPr>
      <w:lang w:eastAsia="en-GB"/>
    </w:rPr>
  </w:style>
  <w:style w:type="paragraph" w:styleId="Revision">
    <w:name w:val="Revision"/>
    <w:hidden/>
    <w:uiPriority w:val="99"/>
    <w:semiHidden/>
    <w:rsid w:val="00AB2B7C"/>
    <w:rPr>
      <w:sz w:val="24"/>
      <w:szCs w:val="24"/>
      <w:lang w:val="en-GB"/>
    </w:rPr>
  </w:style>
  <w:style w:type="paragraph" w:styleId="Caption">
    <w:name w:val="caption"/>
    <w:basedOn w:val="Normal"/>
    <w:next w:val="Normal"/>
    <w:uiPriority w:val="99"/>
    <w:qFormat/>
    <w:rsid w:val="00F27C41"/>
    <w:pPr>
      <w:spacing w:after="200"/>
    </w:pPr>
    <w:rPr>
      <w:b/>
      <w:bCs/>
      <w:color w:val="4F81BD"/>
      <w:sz w:val="18"/>
      <w:szCs w:val="18"/>
    </w:rPr>
  </w:style>
  <w:style w:type="character" w:styleId="CommentReference">
    <w:name w:val="annotation reference"/>
    <w:basedOn w:val="DefaultParagraphFont"/>
    <w:uiPriority w:val="99"/>
    <w:semiHidden/>
    <w:rsid w:val="00045C10"/>
    <w:rPr>
      <w:rFonts w:cs="Times New Roman"/>
      <w:sz w:val="16"/>
      <w:szCs w:val="16"/>
    </w:rPr>
  </w:style>
  <w:style w:type="paragraph" w:styleId="CommentText">
    <w:name w:val="annotation text"/>
    <w:basedOn w:val="Normal"/>
    <w:link w:val="CommentTextChar"/>
    <w:uiPriority w:val="99"/>
    <w:semiHidden/>
    <w:rsid w:val="00045C10"/>
    <w:rPr>
      <w:sz w:val="20"/>
      <w:szCs w:val="20"/>
    </w:rPr>
  </w:style>
  <w:style w:type="character" w:customStyle="1" w:styleId="CommentTextChar">
    <w:name w:val="Comment Text Char"/>
    <w:basedOn w:val="DefaultParagraphFont"/>
    <w:link w:val="CommentText"/>
    <w:uiPriority w:val="99"/>
    <w:semiHidden/>
    <w:locked/>
    <w:rsid w:val="00D332B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45C10"/>
    <w:rPr>
      <w:b/>
      <w:bCs/>
    </w:rPr>
  </w:style>
  <w:style w:type="character" w:customStyle="1" w:styleId="CommentSubjectChar">
    <w:name w:val="Comment Subject Char"/>
    <w:basedOn w:val="CommentTextChar"/>
    <w:link w:val="CommentSubject"/>
    <w:uiPriority w:val="99"/>
    <w:semiHidden/>
    <w:locked/>
    <w:rsid w:val="00D332B5"/>
    <w:rPr>
      <w:b/>
      <w:bCs/>
    </w:rPr>
  </w:style>
  <w:style w:type="character" w:styleId="PageNumber">
    <w:name w:val="page number"/>
    <w:basedOn w:val="DefaultParagraphFont"/>
    <w:uiPriority w:val="99"/>
    <w:rsid w:val="00C94EF3"/>
    <w:rPr>
      <w:rFonts w:cs="Times New Roman"/>
    </w:rPr>
  </w:style>
  <w:style w:type="paragraph" w:styleId="Header">
    <w:name w:val="header"/>
    <w:basedOn w:val="Normal"/>
    <w:link w:val="HeaderChar"/>
    <w:uiPriority w:val="99"/>
    <w:rsid w:val="00C94EF3"/>
    <w:pPr>
      <w:tabs>
        <w:tab w:val="center" w:pos="4320"/>
        <w:tab w:val="right" w:pos="8640"/>
      </w:tabs>
    </w:pPr>
  </w:style>
  <w:style w:type="character" w:customStyle="1" w:styleId="HeaderChar">
    <w:name w:val="Header Char"/>
    <w:basedOn w:val="DefaultParagraphFont"/>
    <w:link w:val="Header"/>
    <w:uiPriority w:val="99"/>
    <w:semiHidden/>
    <w:locked/>
    <w:rsid w:val="00FA0DBA"/>
    <w:rPr>
      <w:rFonts w:cs="Times New Roman"/>
      <w:sz w:val="24"/>
      <w:szCs w:val="24"/>
      <w:lang w:eastAsia="en-US"/>
    </w:rPr>
  </w:style>
  <w:style w:type="paragraph" w:customStyle="1" w:styleId="PressRelease">
    <w:name w:val="Press Release"/>
    <w:basedOn w:val="Heading1"/>
    <w:uiPriority w:val="99"/>
    <w:rsid w:val="007E617D"/>
    <w:pPr>
      <w:spacing w:before="240" w:after="60"/>
      <w:jc w:val="left"/>
    </w:pPr>
    <w:rPr>
      <w:kern w:val="32"/>
      <w:sz w:val="36"/>
      <w:szCs w:val="32"/>
    </w:rPr>
  </w:style>
  <w:style w:type="paragraph" w:styleId="FootnoteText">
    <w:name w:val="footnote text"/>
    <w:basedOn w:val="Normal"/>
    <w:link w:val="FootnoteTextChar"/>
    <w:uiPriority w:val="99"/>
    <w:semiHidden/>
    <w:rsid w:val="007E617D"/>
    <w:rPr>
      <w:sz w:val="20"/>
      <w:szCs w:val="20"/>
    </w:rPr>
  </w:style>
  <w:style w:type="character" w:customStyle="1" w:styleId="FootnoteTextChar">
    <w:name w:val="Footnote Text Char"/>
    <w:basedOn w:val="DefaultParagraphFont"/>
    <w:link w:val="FootnoteText"/>
    <w:uiPriority w:val="99"/>
    <w:semiHidden/>
    <w:locked/>
    <w:rsid w:val="00524968"/>
    <w:rPr>
      <w:rFonts w:cs="Times New Roman"/>
      <w:sz w:val="20"/>
      <w:szCs w:val="20"/>
      <w:lang w:eastAsia="en-US"/>
    </w:rPr>
  </w:style>
  <w:style w:type="character" w:styleId="FootnoteReference">
    <w:name w:val="footnote reference"/>
    <w:basedOn w:val="DefaultParagraphFont"/>
    <w:uiPriority w:val="99"/>
    <w:semiHidden/>
    <w:rsid w:val="007E617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17505568">
      <w:marLeft w:val="0"/>
      <w:marRight w:val="0"/>
      <w:marTop w:val="0"/>
      <w:marBottom w:val="0"/>
      <w:divBdr>
        <w:top w:val="none" w:sz="0" w:space="0" w:color="auto"/>
        <w:left w:val="none" w:sz="0" w:space="0" w:color="auto"/>
        <w:bottom w:val="none" w:sz="0" w:space="0" w:color="auto"/>
        <w:right w:val="none" w:sz="0" w:space="0" w:color="auto"/>
      </w:divBdr>
      <w:divsChild>
        <w:div w:id="1717505597">
          <w:marLeft w:val="0"/>
          <w:marRight w:val="0"/>
          <w:marTop w:val="0"/>
          <w:marBottom w:val="0"/>
          <w:divBdr>
            <w:top w:val="none" w:sz="0" w:space="0" w:color="auto"/>
            <w:left w:val="none" w:sz="0" w:space="0" w:color="auto"/>
            <w:bottom w:val="none" w:sz="0" w:space="0" w:color="auto"/>
            <w:right w:val="none" w:sz="0" w:space="0" w:color="auto"/>
          </w:divBdr>
        </w:div>
      </w:divsChild>
    </w:div>
    <w:div w:id="1717505570">
      <w:marLeft w:val="0"/>
      <w:marRight w:val="0"/>
      <w:marTop w:val="0"/>
      <w:marBottom w:val="0"/>
      <w:divBdr>
        <w:top w:val="none" w:sz="0" w:space="0" w:color="auto"/>
        <w:left w:val="none" w:sz="0" w:space="0" w:color="auto"/>
        <w:bottom w:val="none" w:sz="0" w:space="0" w:color="auto"/>
        <w:right w:val="none" w:sz="0" w:space="0" w:color="auto"/>
      </w:divBdr>
    </w:div>
    <w:div w:id="1717505571">
      <w:marLeft w:val="0"/>
      <w:marRight w:val="0"/>
      <w:marTop w:val="0"/>
      <w:marBottom w:val="0"/>
      <w:divBdr>
        <w:top w:val="none" w:sz="0" w:space="0" w:color="auto"/>
        <w:left w:val="none" w:sz="0" w:space="0" w:color="auto"/>
        <w:bottom w:val="none" w:sz="0" w:space="0" w:color="auto"/>
        <w:right w:val="none" w:sz="0" w:space="0" w:color="auto"/>
      </w:divBdr>
    </w:div>
    <w:div w:id="1717505573">
      <w:marLeft w:val="0"/>
      <w:marRight w:val="0"/>
      <w:marTop w:val="0"/>
      <w:marBottom w:val="0"/>
      <w:divBdr>
        <w:top w:val="none" w:sz="0" w:space="0" w:color="auto"/>
        <w:left w:val="none" w:sz="0" w:space="0" w:color="auto"/>
        <w:bottom w:val="none" w:sz="0" w:space="0" w:color="auto"/>
        <w:right w:val="none" w:sz="0" w:space="0" w:color="auto"/>
      </w:divBdr>
    </w:div>
    <w:div w:id="1717505574">
      <w:marLeft w:val="0"/>
      <w:marRight w:val="0"/>
      <w:marTop w:val="0"/>
      <w:marBottom w:val="0"/>
      <w:divBdr>
        <w:top w:val="none" w:sz="0" w:space="0" w:color="auto"/>
        <w:left w:val="none" w:sz="0" w:space="0" w:color="auto"/>
        <w:bottom w:val="none" w:sz="0" w:space="0" w:color="auto"/>
        <w:right w:val="none" w:sz="0" w:space="0" w:color="auto"/>
      </w:divBdr>
    </w:div>
    <w:div w:id="1717505576">
      <w:marLeft w:val="0"/>
      <w:marRight w:val="0"/>
      <w:marTop w:val="0"/>
      <w:marBottom w:val="0"/>
      <w:divBdr>
        <w:top w:val="none" w:sz="0" w:space="0" w:color="auto"/>
        <w:left w:val="none" w:sz="0" w:space="0" w:color="auto"/>
        <w:bottom w:val="none" w:sz="0" w:space="0" w:color="auto"/>
        <w:right w:val="none" w:sz="0" w:space="0" w:color="auto"/>
      </w:divBdr>
    </w:div>
    <w:div w:id="1717505577">
      <w:marLeft w:val="0"/>
      <w:marRight w:val="0"/>
      <w:marTop w:val="0"/>
      <w:marBottom w:val="0"/>
      <w:divBdr>
        <w:top w:val="none" w:sz="0" w:space="0" w:color="auto"/>
        <w:left w:val="none" w:sz="0" w:space="0" w:color="auto"/>
        <w:bottom w:val="none" w:sz="0" w:space="0" w:color="auto"/>
        <w:right w:val="none" w:sz="0" w:space="0" w:color="auto"/>
      </w:divBdr>
    </w:div>
    <w:div w:id="1717505583">
      <w:marLeft w:val="0"/>
      <w:marRight w:val="0"/>
      <w:marTop w:val="0"/>
      <w:marBottom w:val="0"/>
      <w:divBdr>
        <w:top w:val="none" w:sz="0" w:space="0" w:color="auto"/>
        <w:left w:val="none" w:sz="0" w:space="0" w:color="auto"/>
        <w:bottom w:val="none" w:sz="0" w:space="0" w:color="auto"/>
        <w:right w:val="none" w:sz="0" w:space="0" w:color="auto"/>
      </w:divBdr>
      <w:divsChild>
        <w:div w:id="1717505598">
          <w:marLeft w:val="0"/>
          <w:marRight w:val="0"/>
          <w:marTop w:val="0"/>
          <w:marBottom w:val="0"/>
          <w:divBdr>
            <w:top w:val="none" w:sz="0" w:space="0" w:color="auto"/>
            <w:left w:val="none" w:sz="0" w:space="0" w:color="auto"/>
            <w:bottom w:val="none" w:sz="0" w:space="0" w:color="auto"/>
            <w:right w:val="none" w:sz="0" w:space="0" w:color="auto"/>
          </w:divBdr>
          <w:divsChild>
            <w:div w:id="1717505569">
              <w:marLeft w:val="0"/>
              <w:marRight w:val="0"/>
              <w:marTop w:val="0"/>
              <w:marBottom w:val="0"/>
              <w:divBdr>
                <w:top w:val="none" w:sz="0" w:space="0" w:color="auto"/>
                <w:left w:val="none" w:sz="0" w:space="0" w:color="auto"/>
                <w:bottom w:val="none" w:sz="0" w:space="0" w:color="auto"/>
                <w:right w:val="none" w:sz="0" w:space="0" w:color="auto"/>
              </w:divBdr>
            </w:div>
            <w:div w:id="17175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5585">
      <w:marLeft w:val="0"/>
      <w:marRight w:val="0"/>
      <w:marTop w:val="0"/>
      <w:marBottom w:val="0"/>
      <w:divBdr>
        <w:top w:val="none" w:sz="0" w:space="0" w:color="auto"/>
        <w:left w:val="none" w:sz="0" w:space="0" w:color="auto"/>
        <w:bottom w:val="none" w:sz="0" w:space="0" w:color="auto"/>
        <w:right w:val="none" w:sz="0" w:space="0" w:color="auto"/>
      </w:divBdr>
      <w:divsChild>
        <w:div w:id="1717505581">
          <w:marLeft w:val="0"/>
          <w:marRight w:val="0"/>
          <w:marTop w:val="0"/>
          <w:marBottom w:val="0"/>
          <w:divBdr>
            <w:top w:val="none" w:sz="0" w:space="0" w:color="auto"/>
            <w:left w:val="none" w:sz="0" w:space="0" w:color="auto"/>
            <w:bottom w:val="none" w:sz="0" w:space="0" w:color="auto"/>
            <w:right w:val="none" w:sz="0" w:space="0" w:color="auto"/>
          </w:divBdr>
          <w:divsChild>
            <w:div w:id="1717505588">
              <w:marLeft w:val="0"/>
              <w:marRight w:val="0"/>
              <w:marTop w:val="0"/>
              <w:marBottom w:val="0"/>
              <w:divBdr>
                <w:top w:val="none" w:sz="0" w:space="0" w:color="auto"/>
                <w:left w:val="none" w:sz="0" w:space="0" w:color="auto"/>
                <w:bottom w:val="none" w:sz="0" w:space="0" w:color="auto"/>
                <w:right w:val="none" w:sz="0" w:space="0" w:color="auto"/>
              </w:divBdr>
            </w:div>
            <w:div w:id="1717505589">
              <w:marLeft w:val="0"/>
              <w:marRight w:val="0"/>
              <w:marTop w:val="0"/>
              <w:marBottom w:val="0"/>
              <w:divBdr>
                <w:top w:val="none" w:sz="0" w:space="0" w:color="auto"/>
                <w:left w:val="none" w:sz="0" w:space="0" w:color="auto"/>
                <w:bottom w:val="none" w:sz="0" w:space="0" w:color="auto"/>
                <w:right w:val="none" w:sz="0" w:space="0" w:color="auto"/>
              </w:divBdr>
            </w:div>
            <w:div w:id="1717505592">
              <w:marLeft w:val="0"/>
              <w:marRight w:val="0"/>
              <w:marTop w:val="0"/>
              <w:marBottom w:val="0"/>
              <w:divBdr>
                <w:top w:val="none" w:sz="0" w:space="0" w:color="auto"/>
                <w:left w:val="none" w:sz="0" w:space="0" w:color="auto"/>
                <w:bottom w:val="none" w:sz="0" w:space="0" w:color="auto"/>
                <w:right w:val="none" w:sz="0" w:space="0" w:color="auto"/>
              </w:divBdr>
            </w:div>
            <w:div w:id="1717505600">
              <w:marLeft w:val="0"/>
              <w:marRight w:val="0"/>
              <w:marTop w:val="0"/>
              <w:marBottom w:val="0"/>
              <w:divBdr>
                <w:top w:val="none" w:sz="0" w:space="0" w:color="auto"/>
                <w:left w:val="none" w:sz="0" w:space="0" w:color="auto"/>
                <w:bottom w:val="none" w:sz="0" w:space="0" w:color="auto"/>
                <w:right w:val="none" w:sz="0" w:space="0" w:color="auto"/>
              </w:divBdr>
            </w:div>
            <w:div w:id="1717505601">
              <w:marLeft w:val="0"/>
              <w:marRight w:val="0"/>
              <w:marTop w:val="0"/>
              <w:marBottom w:val="0"/>
              <w:divBdr>
                <w:top w:val="none" w:sz="0" w:space="0" w:color="auto"/>
                <w:left w:val="none" w:sz="0" w:space="0" w:color="auto"/>
                <w:bottom w:val="none" w:sz="0" w:space="0" w:color="auto"/>
                <w:right w:val="none" w:sz="0" w:space="0" w:color="auto"/>
              </w:divBdr>
            </w:div>
            <w:div w:id="17175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5586">
      <w:marLeft w:val="0"/>
      <w:marRight w:val="0"/>
      <w:marTop w:val="0"/>
      <w:marBottom w:val="0"/>
      <w:divBdr>
        <w:top w:val="none" w:sz="0" w:space="0" w:color="auto"/>
        <w:left w:val="none" w:sz="0" w:space="0" w:color="auto"/>
        <w:bottom w:val="none" w:sz="0" w:space="0" w:color="auto"/>
        <w:right w:val="none" w:sz="0" w:space="0" w:color="auto"/>
      </w:divBdr>
      <w:divsChild>
        <w:div w:id="1717505607">
          <w:marLeft w:val="0"/>
          <w:marRight w:val="0"/>
          <w:marTop w:val="0"/>
          <w:marBottom w:val="0"/>
          <w:divBdr>
            <w:top w:val="none" w:sz="0" w:space="0" w:color="auto"/>
            <w:left w:val="none" w:sz="0" w:space="0" w:color="auto"/>
            <w:bottom w:val="none" w:sz="0" w:space="0" w:color="auto"/>
            <w:right w:val="none" w:sz="0" w:space="0" w:color="auto"/>
          </w:divBdr>
          <w:divsChild>
            <w:div w:id="1717505572">
              <w:marLeft w:val="0"/>
              <w:marRight w:val="0"/>
              <w:marTop w:val="0"/>
              <w:marBottom w:val="0"/>
              <w:divBdr>
                <w:top w:val="none" w:sz="0" w:space="0" w:color="auto"/>
                <w:left w:val="none" w:sz="0" w:space="0" w:color="auto"/>
                <w:bottom w:val="none" w:sz="0" w:space="0" w:color="auto"/>
                <w:right w:val="none" w:sz="0" w:space="0" w:color="auto"/>
              </w:divBdr>
            </w:div>
            <w:div w:id="1717505580">
              <w:marLeft w:val="0"/>
              <w:marRight w:val="0"/>
              <w:marTop w:val="0"/>
              <w:marBottom w:val="0"/>
              <w:divBdr>
                <w:top w:val="none" w:sz="0" w:space="0" w:color="auto"/>
                <w:left w:val="none" w:sz="0" w:space="0" w:color="auto"/>
                <w:bottom w:val="none" w:sz="0" w:space="0" w:color="auto"/>
                <w:right w:val="none" w:sz="0" w:space="0" w:color="auto"/>
              </w:divBdr>
            </w:div>
            <w:div w:id="1717505590">
              <w:marLeft w:val="0"/>
              <w:marRight w:val="0"/>
              <w:marTop w:val="0"/>
              <w:marBottom w:val="0"/>
              <w:divBdr>
                <w:top w:val="none" w:sz="0" w:space="0" w:color="auto"/>
                <w:left w:val="none" w:sz="0" w:space="0" w:color="auto"/>
                <w:bottom w:val="none" w:sz="0" w:space="0" w:color="auto"/>
                <w:right w:val="none" w:sz="0" w:space="0" w:color="auto"/>
              </w:divBdr>
            </w:div>
            <w:div w:id="1717505595">
              <w:marLeft w:val="0"/>
              <w:marRight w:val="0"/>
              <w:marTop w:val="0"/>
              <w:marBottom w:val="0"/>
              <w:divBdr>
                <w:top w:val="none" w:sz="0" w:space="0" w:color="auto"/>
                <w:left w:val="none" w:sz="0" w:space="0" w:color="auto"/>
                <w:bottom w:val="none" w:sz="0" w:space="0" w:color="auto"/>
                <w:right w:val="none" w:sz="0" w:space="0" w:color="auto"/>
              </w:divBdr>
            </w:div>
            <w:div w:id="1717505599">
              <w:marLeft w:val="0"/>
              <w:marRight w:val="0"/>
              <w:marTop w:val="0"/>
              <w:marBottom w:val="0"/>
              <w:divBdr>
                <w:top w:val="none" w:sz="0" w:space="0" w:color="auto"/>
                <w:left w:val="none" w:sz="0" w:space="0" w:color="auto"/>
                <w:bottom w:val="none" w:sz="0" w:space="0" w:color="auto"/>
                <w:right w:val="none" w:sz="0" w:space="0" w:color="auto"/>
              </w:divBdr>
            </w:div>
            <w:div w:id="17175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5587">
      <w:marLeft w:val="0"/>
      <w:marRight w:val="0"/>
      <w:marTop w:val="0"/>
      <w:marBottom w:val="0"/>
      <w:divBdr>
        <w:top w:val="none" w:sz="0" w:space="0" w:color="auto"/>
        <w:left w:val="none" w:sz="0" w:space="0" w:color="auto"/>
        <w:bottom w:val="none" w:sz="0" w:space="0" w:color="auto"/>
        <w:right w:val="none" w:sz="0" w:space="0" w:color="auto"/>
      </w:divBdr>
      <w:divsChild>
        <w:div w:id="1717505616">
          <w:marLeft w:val="0"/>
          <w:marRight w:val="0"/>
          <w:marTop w:val="0"/>
          <w:marBottom w:val="0"/>
          <w:divBdr>
            <w:top w:val="none" w:sz="0" w:space="0" w:color="auto"/>
            <w:left w:val="none" w:sz="0" w:space="0" w:color="auto"/>
            <w:bottom w:val="none" w:sz="0" w:space="0" w:color="auto"/>
            <w:right w:val="none" w:sz="0" w:space="0" w:color="auto"/>
          </w:divBdr>
        </w:div>
      </w:divsChild>
    </w:div>
    <w:div w:id="1717505593">
      <w:marLeft w:val="0"/>
      <w:marRight w:val="0"/>
      <w:marTop w:val="0"/>
      <w:marBottom w:val="0"/>
      <w:divBdr>
        <w:top w:val="none" w:sz="0" w:space="0" w:color="auto"/>
        <w:left w:val="none" w:sz="0" w:space="0" w:color="auto"/>
        <w:bottom w:val="none" w:sz="0" w:space="0" w:color="auto"/>
        <w:right w:val="none" w:sz="0" w:space="0" w:color="auto"/>
      </w:divBdr>
    </w:div>
    <w:div w:id="1717505596">
      <w:marLeft w:val="0"/>
      <w:marRight w:val="0"/>
      <w:marTop w:val="0"/>
      <w:marBottom w:val="0"/>
      <w:divBdr>
        <w:top w:val="none" w:sz="0" w:space="0" w:color="auto"/>
        <w:left w:val="none" w:sz="0" w:space="0" w:color="auto"/>
        <w:bottom w:val="none" w:sz="0" w:space="0" w:color="auto"/>
        <w:right w:val="none" w:sz="0" w:space="0" w:color="auto"/>
      </w:divBdr>
      <w:divsChild>
        <w:div w:id="1717505594">
          <w:marLeft w:val="0"/>
          <w:marRight w:val="0"/>
          <w:marTop w:val="0"/>
          <w:marBottom w:val="0"/>
          <w:divBdr>
            <w:top w:val="none" w:sz="0" w:space="0" w:color="auto"/>
            <w:left w:val="none" w:sz="0" w:space="0" w:color="auto"/>
            <w:bottom w:val="none" w:sz="0" w:space="0" w:color="auto"/>
            <w:right w:val="none" w:sz="0" w:space="0" w:color="auto"/>
          </w:divBdr>
        </w:div>
      </w:divsChild>
    </w:div>
    <w:div w:id="1717505602">
      <w:marLeft w:val="0"/>
      <w:marRight w:val="0"/>
      <w:marTop w:val="0"/>
      <w:marBottom w:val="0"/>
      <w:divBdr>
        <w:top w:val="none" w:sz="0" w:space="0" w:color="auto"/>
        <w:left w:val="none" w:sz="0" w:space="0" w:color="auto"/>
        <w:bottom w:val="none" w:sz="0" w:space="0" w:color="auto"/>
        <w:right w:val="none" w:sz="0" w:space="0" w:color="auto"/>
      </w:divBdr>
    </w:div>
    <w:div w:id="1717505603">
      <w:marLeft w:val="0"/>
      <w:marRight w:val="0"/>
      <w:marTop w:val="0"/>
      <w:marBottom w:val="0"/>
      <w:divBdr>
        <w:top w:val="none" w:sz="0" w:space="0" w:color="auto"/>
        <w:left w:val="none" w:sz="0" w:space="0" w:color="auto"/>
        <w:bottom w:val="none" w:sz="0" w:space="0" w:color="auto"/>
        <w:right w:val="none" w:sz="0" w:space="0" w:color="auto"/>
      </w:divBdr>
      <w:divsChild>
        <w:div w:id="1717505578">
          <w:marLeft w:val="0"/>
          <w:marRight w:val="0"/>
          <w:marTop w:val="168"/>
          <w:marBottom w:val="0"/>
          <w:divBdr>
            <w:top w:val="none" w:sz="0" w:space="0" w:color="auto"/>
            <w:left w:val="none" w:sz="0" w:space="0" w:color="auto"/>
            <w:bottom w:val="none" w:sz="0" w:space="0" w:color="auto"/>
            <w:right w:val="none" w:sz="0" w:space="0" w:color="auto"/>
          </w:divBdr>
        </w:div>
        <w:div w:id="1717505582">
          <w:marLeft w:val="0"/>
          <w:marRight w:val="0"/>
          <w:marTop w:val="168"/>
          <w:marBottom w:val="0"/>
          <w:divBdr>
            <w:top w:val="none" w:sz="0" w:space="0" w:color="auto"/>
            <w:left w:val="none" w:sz="0" w:space="0" w:color="auto"/>
            <w:bottom w:val="none" w:sz="0" w:space="0" w:color="auto"/>
            <w:right w:val="none" w:sz="0" w:space="0" w:color="auto"/>
          </w:divBdr>
        </w:div>
        <w:div w:id="1717505591">
          <w:marLeft w:val="0"/>
          <w:marRight w:val="0"/>
          <w:marTop w:val="168"/>
          <w:marBottom w:val="0"/>
          <w:divBdr>
            <w:top w:val="none" w:sz="0" w:space="0" w:color="auto"/>
            <w:left w:val="none" w:sz="0" w:space="0" w:color="auto"/>
            <w:bottom w:val="none" w:sz="0" w:space="0" w:color="auto"/>
            <w:right w:val="none" w:sz="0" w:space="0" w:color="auto"/>
          </w:divBdr>
        </w:div>
        <w:div w:id="1717505608">
          <w:marLeft w:val="0"/>
          <w:marRight w:val="0"/>
          <w:marTop w:val="168"/>
          <w:marBottom w:val="0"/>
          <w:divBdr>
            <w:top w:val="none" w:sz="0" w:space="0" w:color="auto"/>
            <w:left w:val="none" w:sz="0" w:space="0" w:color="auto"/>
            <w:bottom w:val="none" w:sz="0" w:space="0" w:color="auto"/>
            <w:right w:val="none" w:sz="0" w:space="0" w:color="auto"/>
          </w:divBdr>
        </w:div>
      </w:divsChild>
    </w:div>
    <w:div w:id="1717505606">
      <w:marLeft w:val="0"/>
      <w:marRight w:val="0"/>
      <w:marTop w:val="0"/>
      <w:marBottom w:val="0"/>
      <w:divBdr>
        <w:top w:val="none" w:sz="0" w:space="0" w:color="auto"/>
        <w:left w:val="none" w:sz="0" w:space="0" w:color="auto"/>
        <w:bottom w:val="none" w:sz="0" w:space="0" w:color="auto"/>
        <w:right w:val="none" w:sz="0" w:space="0" w:color="auto"/>
      </w:divBdr>
    </w:div>
    <w:div w:id="1717505609">
      <w:marLeft w:val="0"/>
      <w:marRight w:val="0"/>
      <w:marTop w:val="0"/>
      <w:marBottom w:val="0"/>
      <w:divBdr>
        <w:top w:val="none" w:sz="0" w:space="0" w:color="auto"/>
        <w:left w:val="none" w:sz="0" w:space="0" w:color="auto"/>
        <w:bottom w:val="none" w:sz="0" w:space="0" w:color="auto"/>
        <w:right w:val="none" w:sz="0" w:space="0" w:color="auto"/>
      </w:divBdr>
    </w:div>
    <w:div w:id="1717505610">
      <w:marLeft w:val="0"/>
      <w:marRight w:val="0"/>
      <w:marTop w:val="0"/>
      <w:marBottom w:val="0"/>
      <w:divBdr>
        <w:top w:val="none" w:sz="0" w:space="0" w:color="auto"/>
        <w:left w:val="none" w:sz="0" w:space="0" w:color="auto"/>
        <w:bottom w:val="none" w:sz="0" w:space="0" w:color="auto"/>
        <w:right w:val="none" w:sz="0" w:space="0" w:color="auto"/>
      </w:divBdr>
    </w:div>
    <w:div w:id="1717505611">
      <w:marLeft w:val="0"/>
      <w:marRight w:val="0"/>
      <w:marTop w:val="0"/>
      <w:marBottom w:val="0"/>
      <w:divBdr>
        <w:top w:val="none" w:sz="0" w:space="0" w:color="auto"/>
        <w:left w:val="none" w:sz="0" w:space="0" w:color="auto"/>
        <w:bottom w:val="none" w:sz="0" w:space="0" w:color="auto"/>
        <w:right w:val="none" w:sz="0" w:space="0" w:color="auto"/>
      </w:divBdr>
    </w:div>
    <w:div w:id="1717505613">
      <w:marLeft w:val="0"/>
      <w:marRight w:val="0"/>
      <w:marTop w:val="0"/>
      <w:marBottom w:val="0"/>
      <w:divBdr>
        <w:top w:val="none" w:sz="0" w:space="0" w:color="auto"/>
        <w:left w:val="none" w:sz="0" w:space="0" w:color="auto"/>
        <w:bottom w:val="none" w:sz="0" w:space="0" w:color="auto"/>
        <w:right w:val="none" w:sz="0" w:space="0" w:color="auto"/>
      </w:divBdr>
      <w:divsChild>
        <w:div w:id="1717505622">
          <w:marLeft w:val="0"/>
          <w:marRight w:val="0"/>
          <w:marTop w:val="0"/>
          <w:marBottom w:val="0"/>
          <w:divBdr>
            <w:top w:val="none" w:sz="0" w:space="0" w:color="auto"/>
            <w:left w:val="none" w:sz="0" w:space="0" w:color="auto"/>
            <w:bottom w:val="none" w:sz="0" w:space="0" w:color="auto"/>
            <w:right w:val="none" w:sz="0" w:space="0" w:color="auto"/>
          </w:divBdr>
        </w:div>
      </w:divsChild>
    </w:div>
    <w:div w:id="1717505614">
      <w:marLeft w:val="0"/>
      <w:marRight w:val="0"/>
      <w:marTop w:val="0"/>
      <w:marBottom w:val="0"/>
      <w:divBdr>
        <w:top w:val="none" w:sz="0" w:space="0" w:color="auto"/>
        <w:left w:val="none" w:sz="0" w:space="0" w:color="auto"/>
        <w:bottom w:val="none" w:sz="0" w:space="0" w:color="auto"/>
        <w:right w:val="none" w:sz="0" w:space="0" w:color="auto"/>
      </w:divBdr>
      <w:divsChild>
        <w:div w:id="1717505579">
          <w:marLeft w:val="0"/>
          <w:marRight w:val="0"/>
          <w:marTop w:val="0"/>
          <w:marBottom w:val="0"/>
          <w:divBdr>
            <w:top w:val="none" w:sz="0" w:space="0" w:color="auto"/>
            <w:left w:val="none" w:sz="0" w:space="0" w:color="auto"/>
            <w:bottom w:val="none" w:sz="0" w:space="0" w:color="auto"/>
            <w:right w:val="none" w:sz="0" w:space="0" w:color="auto"/>
          </w:divBdr>
        </w:div>
      </w:divsChild>
    </w:div>
    <w:div w:id="1717505615">
      <w:marLeft w:val="0"/>
      <w:marRight w:val="0"/>
      <w:marTop w:val="0"/>
      <w:marBottom w:val="0"/>
      <w:divBdr>
        <w:top w:val="none" w:sz="0" w:space="0" w:color="auto"/>
        <w:left w:val="none" w:sz="0" w:space="0" w:color="auto"/>
        <w:bottom w:val="none" w:sz="0" w:space="0" w:color="auto"/>
        <w:right w:val="none" w:sz="0" w:space="0" w:color="auto"/>
      </w:divBdr>
    </w:div>
    <w:div w:id="1717505617">
      <w:marLeft w:val="0"/>
      <w:marRight w:val="0"/>
      <w:marTop w:val="0"/>
      <w:marBottom w:val="0"/>
      <w:divBdr>
        <w:top w:val="none" w:sz="0" w:space="0" w:color="auto"/>
        <w:left w:val="none" w:sz="0" w:space="0" w:color="auto"/>
        <w:bottom w:val="none" w:sz="0" w:space="0" w:color="auto"/>
        <w:right w:val="none" w:sz="0" w:space="0" w:color="auto"/>
      </w:divBdr>
      <w:divsChild>
        <w:div w:id="1717505584">
          <w:marLeft w:val="1440"/>
          <w:marRight w:val="0"/>
          <w:marTop w:val="108"/>
          <w:marBottom w:val="0"/>
          <w:divBdr>
            <w:top w:val="none" w:sz="0" w:space="0" w:color="auto"/>
            <w:left w:val="none" w:sz="0" w:space="0" w:color="auto"/>
            <w:bottom w:val="none" w:sz="0" w:space="0" w:color="auto"/>
            <w:right w:val="none" w:sz="0" w:space="0" w:color="auto"/>
          </w:divBdr>
        </w:div>
        <w:div w:id="1717505605">
          <w:marLeft w:val="1440"/>
          <w:marRight w:val="0"/>
          <w:marTop w:val="108"/>
          <w:marBottom w:val="0"/>
          <w:divBdr>
            <w:top w:val="none" w:sz="0" w:space="0" w:color="auto"/>
            <w:left w:val="none" w:sz="0" w:space="0" w:color="auto"/>
            <w:bottom w:val="none" w:sz="0" w:space="0" w:color="auto"/>
            <w:right w:val="none" w:sz="0" w:space="0" w:color="auto"/>
          </w:divBdr>
        </w:div>
        <w:div w:id="1717505619">
          <w:marLeft w:val="1440"/>
          <w:marRight w:val="0"/>
          <w:marTop w:val="108"/>
          <w:marBottom w:val="0"/>
          <w:divBdr>
            <w:top w:val="none" w:sz="0" w:space="0" w:color="auto"/>
            <w:left w:val="none" w:sz="0" w:space="0" w:color="auto"/>
            <w:bottom w:val="none" w:sz="0" w:space="0" w:color="auto"/>
            <w:right w:val="none" w:sz="0" w:space="0" w:color="auto"/>
          </w:divBdr>
        </w:div>
        <w:div w:id="1717505620">
          <w:marLeft w:val="1440"/>
          <w:marRight w:val="0"/>
          <w:marTop w:val="108"/>
          <w:marBottom w:val="0"/>
          <w:divBdr>
            <w:top w:val="none" w:sz="0" w:space="0" w:color="auto"/>
            <w:left w:val="none" w:sz="0" w:space="0" w:color="auto"/>
            <w:bottom w:val="none" w:sz="0" w:space="0" w:color="auto"/>
            <w:right w:val="none" w:sz="0" w:space="0" w:color="auto"/>
          </w:divBdr>
        </w:div>
        <w:div w:id="1717505621">
          <w:marLeft w:val="1440"/>
          <w:marRight w:val="0"/>
          <w:marTop w:val="108"/>
          <w:marBottom w:val="0"/>
          <w:divBdr>
            <w:top w:val="none" w:sz="0" w:space="0" w:color="auto"/>
            <w:left w:val="none" w:sz="0" w:space="0" w:color="auto"/>
            <w:bottom w:val="none" w:sz="0" w:space="0" w:color="auto"/>
            <w:right w:val="none" w:sz="0" w:space="0" w:color="auto"/>
          </w:divBdr>
        </w:div>
      </w:divsChild>
    </w:div>
    <w:div w:id="1717505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861</Words>
  <Characters>4911</Characters>
  <Application>Microsoft Office Outlook</Application>
  <DocSecurity>0</DocSecurity>
  <Lines>0</Lines>
  <Paragraphs>0</Paragraphs>
  <ScaleCrop>false</ScaleCrop>
  <Company>AAC Global 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goes truck racing</dc:title>
  <dc:subject/>
  <dc:creator>Dermot Bambridge</dc:creator>
  <cp:keywords/>
  <dc:description/>
  <cp:lastModifiedBy> </cp:lastModifiedBy>
  <cp:revision>3</cp:revision>
  <cp:lastPrinted>2011-08-01T04:57:00Z</cp:lastPrinted>
  <dcterms:created xsi:type="dcterms:W3CDTF">2011-12-02T11:28:00Z</dcterms:created>
  <dcterms:modified xsi:type="dcterms:W3CDTF">2011-12-02T11:29:00Z</dcterms:modified>
</cp:coreProperties>
</file>