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54" w:rsidRDefault="00C3616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#17-802</w:t>
      </w:r>
    </w:p>
    <w:p w:rsidR="00B96D54" w:rsidRDefault="00B96D54">
      <w:pPr>
        <w:spacing w:after="0"/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Stockholm 2017-08-24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 xml:space="preserve">As from August 25, 2017, 49 Mini futures issued by Vontobel Financial Products GmbH will be listed on NDX Sweden and will be included on the list for Knock-Outs. The instruments will be registered at </w:t>
      </w:r>
      <w:proofErr w:type="spellStart"/>
      <w:r w:rsidRPr="00C36164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C36164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Issuer: Vontobel Financial Product</w:t>
      </w:r>
      <w:r w:rsidRPr="00C36164">
        <w:rPr>
          <w:rFonts w:ascii="Baskerville MT" w:hAnsi="Baskerville MT" w:cs="Baskerville MT"/>
          <w:sz w:val="24"/>
          <w:szCs w:val="24"/>
          <w:lang w:val="en-US"/>
        </w:rPr>
        <w:t>s GmbH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C36164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C36164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Term: As from August 25, 2017 and forward or until time for knock out event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Euro-Bund Futures - German Government Bond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96D54" w:rsidRPr="00C36164" w:rsidRDefault="00C36164">
      <w:pPr>
        <w:spacing w:after="0"/>
        <w:rPr>
          <w:lang w:val="en-US"/>
        </w:rPr>
      </w:pPr>
      <w:proofErr w:type="gramStart"/>
      <w:r w:rsidRPr="00C36164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C36164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B96D54" w:rsidRDefault="00C36164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Nokia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B96D54" w:rsidRPr="00C36164" w:rsidRDefault="00C36164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Telefonaktiebolaget LM Ericsson ser. </w:t>
      </w:r>
      <w:r w:rsidRPr="00C36164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B96D54" w:rsidRPr="00C36164" w:rsidRDefault="00C36164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Hennes &amp; Mauritz AB, H &amp; M ser. </w:t>
      </w:r>
      <w:r w:rsidRPr="00C36164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B96D54" w:rsidRPr="00C36164" w:rsidRDefault="00C36164">
      <w:pPr>
        <w:spacing w:after="0"/>
        <w:rPr>
          <w:lang w:val="en-US"/>
        </w:rPr>
      </w:pPr>
      <w:proofErr w:type="spellStart"/>
      <w:r w:rsidRPr="00C36164">
        <w:rPr>
          <w:rFonts w:ascii="Baskerville MT" w:hAnsi="Baskerville MT" w:cs="Baskerville MT"/>
          <w:sz w:val="24"/>
          <w:szCs w:val="24"/>
          <w:lang w:val="en-US"/>
        </w:rPr>
        <w:t>Telia</w:t>
      </w:r>
      <w:proofErr w:type="spellEnd"/>
      <w:r w:rsidRPr="00C36164">
        <w:rPr>
          <w:rFonts w:ascii="Baskerville MT" w:hAnsi="Baskerville MT" w:cs="Baskerville MT"/>
          <w:sz w:val="24"/>
          <w:szCs w:val="24"/>
          <w:lang w:val="en-US"/>
        </w:rPr>
        <w:t xml:space="preserve"> Company AB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GBP/USD Exchange Rate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USD/JPY Ex</w:t>
      </w:r>
      <w:r w:rsidRPr="00C36164">
        <w:rPr>
          <w:rFonts w:ascii="Baskerville MT" w:hAnsi="Baskerville MT" w:cs="Baskerville MT"/>
          <w:sz w:val="24"/>
          <w:szCs w:val="24"/>
          <w:lang w:val="en-US"/>
        </w:rPr>
        <w:t>change Rate</w:t>
      </w:r>
    </w:p>
    <w:p w:rsidR="00B96D54" w:rsidRPr="00C36164" w:rsidRDefault="00C36164">
      <w:pPr>
        <w:spacing w:after="0"/>
        <w:rPr>
          <w:lang w:val="en-US"/>
        </w:rPr>
      </w:pPr>
      <w:proofErr w:type="spellStart"/>
      <w:r w:rsidRPr="00C36164">
        <w:rPr>
          <w:rFonts w:ascii="Baskerville MT" w:hAnsi="Baskerville MT" w:cs="Baskerville MT"/>
          <w:sz w:val="24"/>
          <w:szCs w:val="24"/>
          <w:lang w:val="en-US"/>
        </w:rPr>
        <w:t>Genmab</w:t>
      </w:r>
      <w:proofErr w:type="spellEnd"/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Marine Harvest ASA</w:t>
      </w:r>
    </w:p>
    <w:p w:rsidR="00B96D54" w:rsidRDefault="00C36164">
      <w:pPr>
        <w:spacing w:after="0"/>
      </w:pPr>
      <w:proofErr w:type="spellStart"/>
      <w:r>
        <w:rPr>
          <w:rFonts w:ascii="Baskerville MT" w:hAnsi="Baskerville MT" w:cs="Baskerville MT"/>
          <w:sz w:val="24"/>
          <w:szCs w:val="24"/>
        </w:rPr>
        <w:t>Subsea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7 S.A.</w:t>
      </w:r>
    </w:p>
    <w:p w:rsidR="00B96D54" w:rsidRPr="00C36164" w:rsidRDefault="00C36164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Svenska Handelsbanken AB ser. </w:t>
      </w:r>
      <w:r w:rsidRPr="00C36164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SKF AB ser. B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B96D54" w:rsidRDefault="00C36164">
      <w:pPr>
        <w:spacing w:after="0"/>
      </w:pPr>
      <w:r>
        <w:rPr>
          <w:rFonts w:ascii="Baskerville MT" w:hAnsi="Baskerville MT" w:cs="Baskerville MT"/>
          <w:sz w:val="24"/>
          <w:szCs w:val="24"/>
        </w:rPr>
        <w:t>Atlas Copco AB Ser. A</w:t>
      </w:r>
    </w:p>
    <w:p w:rsidR="00B96D54" w:rsidRDefault="00C36164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B96D54" w:rsidRDefault="00C36164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B96D54" w:rsidRDefault="00C36164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B96D54" w:rsidRDefault="00C36164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Amazon.com </w:t>
      </w:r>
      <w:proofErr w:type="spellStart"/>
      <w:r>
        <w:rPr>
          <w:rFonts w:ascii="Baskerville MT" w:hAnsi="Baskerville MT" w:cs="Baskerville MT"/>
          <w:sz w:val="24"/>
          <w:szCs w:val="24"/>
        </w:rPr>
        <w:t>Inc</w:t>
      </w:r>
      <w:proofErr w:type="spellEnd"/>
    </w:p>
    <w:p w:rsidR="00B96D54" w:rsidRDefault="00C36164">
      <w:pPr>
        <w:spacing w:after="0"/>
      </w:pPr>
      <w:proofErr w:type="spellStart"/>
      <w:r>
        <w:rPr>
          <w:rFonts w:ascii="Baskerville MT" w:hAnsi="Baskerville MT" w:cs="Baskerville MT"/>
          <w:sz w:val="24"/>
          <w:szCs w:val="24"/>
        </w:rPr>
        <w:t>Alphabet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C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lastRenderedPageBreak/>
        <w:t>Tesla Motors Inc.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Deutsche Bank AG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>Volkswagen AG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96D54" w:rsidRPr="00C36164" w:rsidRDefault="00C36164">
      <w:pPr>
        <w:spacing w:after="0"/>
        <w:rPr>
          <w:lang w:val="en-US"/>
        </w:rPr>
      </w:pPr>
      <w:r>
        <w:fldChar w:fldCharType="begin"/>
      </w:r>
      <w:r w:rsidRPr="00C36164">
        <w:rPr>
          <w:lang w:val="en-US"/>
        </w:rPr>
        <w:instrText xml:space="preserve"> HYPERLINK "http://turing.ngm.se/MDWebFront/quotes.html?activeTab=ndxQuotes&amp;instrumentType=MiniFuture&amp;onLoad" </w:instrText>
      </w:r>
      <w:r>
        <w:fldChar w:fldCharType="separate"/>
      </w:r>
      <w:proofErr w:type="gramStart"/>
      <w:r w:rsidRPr="00C36164">
        <w:rPr>
          <w:color w:val="0000FF"/>
          <w:u w:val="single"/>
          <w:lang w:val="en-US"/>
        </w:rPr>
        <w:t>[ NGM</w:t>
      </w:r>
      <w:proofErr w:type="gramEnd"/>
      <w:r w:rsidRPr="00C36164">
        <w:rPr>
          <w:color w:val="0000FF"/>
          <w:u w:val="single"/>
          <w:lang w:val="en-US"/>
        </w:rPr>
        <w:t xml:space="preserve"> Market Data Web - MiniFutures ]</w:t>
      </w:r>
      <w:r>
        <w:rPr>
          <w:color w:val="0000FF"/>
          <w:u w:val="single"/>
        </w:rPr>
        <w:fldChar w:fldCharType="end"/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3616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3616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3616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</w:t>
      </w:r>
      <w:bookmarkStart w:id="0" w:name="_GoBack"/>
      <w:bookmarkEnd w:id="0"/>
      <w:r w:rsidRPr="00C36164">
        <w:rPr>
          <w:rFonts w:ascii="Baskerville MT" w:hAnsi="Baskerville MT" w:cs="Baskerville MT"/>
          <w:sz w:val="18"/>
          <w:szCs w:val="18"/>
          <w:lang w:val="en-US"/>
        </w:rPr>
        <w:t>ctured products for the members' customers.</w:t>
      </w:r>
    </w:p>
    <w:p w:rsidR="00B96D54" w:rsidRPr="00C36164" w:rsidRDefault="00B96D54">
      <w:pPr>
        <w:spacing w:after="0"/>
        <w:rPr>
          <w:lang w:val="en-US"/>
        </w:rPr>
      </w:pPr>
    </w:p>
    <w:p w:rsidR="00B96D54" w:rsidRPr="00C36164" w:rsidRDefault="00C36164">
      <w:pPr>
        <w:spacing w:after="0"/>
        <w:rPr>
          <w:lang w:val="en-US"/>
        </w:rPr>
      </w:pPr>
      <w:r w:rsidRPr="00C3616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3616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96D54" w:rsidRPr="00C3616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6164">
      <w:pPr>
        <w:spacing w:after="0" w:line="240" w:lineRule="auto"/>
      </w:pPr>
      <w:r>
        <w:separator/>
      </w:r>
    </w:p>
  </w:endnote>
  <w:endnote w:type="continuationSeparator" w:id="0">
    <w:p w:rsidR="00000000" w:rsidRDefault="00C3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6164">
      <w:pPr>
        <w:spacing w:after="0" w:line="240" w:lineRule="auto"/>
      </w:pPr>
      <w:r>
        <w:separator/>
      </w:r>
    </w:p>
  </w:footnote>
  <w:footnote w:type="continuationSeparator" w:id="0">
    <w:p w:rsidR="00000000" w:rsidRDefault="00C3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54" w:rsidRDefault="00C3616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D54"/>
    <w:rsid w:val="00B96D54"/>
    <w:rsid w:val="00C3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2017-08-24T08:16:00Z</dcterms:created>
  <dcterms:modified xsi:type="dcterms:W3CDTF">2017-08-24T12:05:00Z</dcterms:modified>
  <cp:category/>
</cp:coreProperties>
</file>