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CA" w:rsidRDefault="007510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</w:t>
      </w:r>
      <w:bookmarkStart w:id="0" w:name="_GoBack"/>
      <w:r>
        <w:rPr>
          <w:rFonts w:ascii="Baskerville MT" w:hAnsi="Baskerville MT" w:cs="Baskerville MT"/>
          <w:b/>
          <w:sz w:val="24"/>
          <w:szCs w:val="24"/>
        </w:rPr>
        <w:t>#17-152</w:t>
      </w:r>
      <w:bookmarkEnd w:id="0"/>
    </w:p>
    <w:p w:rsidR="00FD20CA" w:rsidRDefault="00FD20CA">
      <w:pPr>
        <w:spacing w:after="0"/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Stockholm 2017-02-16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As from February 17, 2017, 80 Mini futures issued by Vontobel Financial Products GmbH will be listed on NDX Sweden and will be included on the list for Knock-Outs. The instruments will be registered at </w:t>
      </w:r>
      <w:proofErr w:type="spellStart"/>
      <w:r w:rsidRPr="0075101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751019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751019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Term: As from February 17, 2017 and forward or until time for knock out event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GBP/USD Exchange</w:t>
      </w:r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 Rate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USD/JPY Exchange Rate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751019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FD20CA" w:rsidRDefault="0075101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FD20CA" w:rsidRDefault="00751019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FD20CA" w:rsidRDefault="00751019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FD20CA" w:rsidRDefault="0075101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Swedbank AB </w:t>
      </w:r>
      <w:proofErr w:type="spellStart"/>
      <w:r>
        <w:rPr>
          <w:rFonts w:ascii="Baskerville MT" w:hAnsi="Baskerville MT" w:cs="Baskerville MT"/>
          <w:sz w:val="24"/>
          <w:szCs w:val="24"/>
        </w:rPr>
        <w:t>ser.A</w:t>
      </w:r>
      <w:proofErr w:type="spellEnd"/>
    </w:p>
    <w:p w:rsidR="00FD20CA" w:rsidRPr="00751019" w:rsidRDefault="00751019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Skandinaviska Enskilda Banken ser. </w:t>
      </w:r>
      <w:r w:rsidRPr="00751019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Electrolux AB ser. B</w:t>
      </w:r>
    </w:p>
    <w:p w:rsidR="00FD20CA" w:rsidRPr="00751019" w:rsidRDefault="00751019">
      <w:pPr>
        <w:spacing w:after="0"/>
        <w:rPr>
          <w:lang w:val="en-US"/>
        </w:rPr>
      </w:pPr>
      <w:proofErr w:type="spellStart"/>
      <w:r w:rsidRPr="00751019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Nordea Bank AB (SEK)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Vestas Wind System</w:t>
      </w:r>
      <w:r w:rsidRPr="00751019">
        <w:rPr>
          <w:rFonts w:ascii="Baskerville MT" w:hAnsi="Baskerville MT" w:cs="Baskerville MT"/>
          <w:sz w:val="24"/>
          <w:szCs w:val="24"/>
          <w:lang w:val="en-US"/>
        </w:rPr>
        <w:t>s A/S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Pandora AS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Genmab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Deutsche Bank AG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Bayerische Motoren Werke AG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Volkswagen AG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Apple Inc.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Facebook Inc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Gilead Sciences Inc.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Twitter Inc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lastRenderedPageBreak/>
        <w:t>Tesla Motors Inc.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Netflix Inc.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FD20CA" w:rsidRPr="00751019" w:rsidRDefault="00751019">
      <w:pPr>
        <w:spacing w:after="0"/>
        <w:rPr>
          <w:lang w:val="en-US"/>
        </w:rPr>
      </w:pPr>
      <w:r>
        <w:fldChar w:fldCharType="begin"/>
      </w:r>
      <w:r w:rsidRPr="00751019">
        <w:rPr>
          <w:lang w:val="en-US"/>
        </w:rPr>
        <w:instrText xml:space="preserve"> HYPERLINK "http://turing.ngm.se/MDWebFront/quotes.html?activeTab=ndxQuotes&amp;instrumentType=MiniFuture&amp;onLoad" </w:instrText>
      </w:r>
      <w:r>
        <w:fldChar w:fldCharType="separate"/>
      </w:r>
      <w:proofErr w:type="gramStart"/>
      <w:r w:rsidRPr="00751019">
        <w:rPr>
          <w:color w:val="0000FF"/>
          <w:u w:val="single"/>
          <w:lang w:val="en-US"/>
        </w:rPr>
        <w:t>[ NGM</w:t>
      </w:r>
      <w:proofErr w:type="gramEnd"/>
      <w:r w:rsidRPr="00751019">
        <w:rPr>
          <w:color w:val="0000FF"/>
          <w:u w:val="single"/>
          <w:lang w:val="en-US"/>
        </w:rPr>
        <w:t xml:space="preserve"> Market Data Web - MiniFutures ]</w:t>
      </w:r>
      <w:r>
        <w:rPr>
          <w:color w:val="0000FF"/>
          <w:u w:val="single"/>
        </w:rPr>
        <w:fldChar w:fldCharType="end"/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5101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5101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5101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D20CA" w:rsidRPr="00751019" w:rsidRDefault="00FD20CA">
      <w:pPr>
        <w:spacing w:after="0"/>
        <w:rPr>
          <w:lang w:val="en-US"/>
        </w:rPr>
      </w:pPr>
    </w:p>
    <w:p w:rsidR="00FD20CA" w:rsidRPr="00751019" w:rsidRDefault="00751019">
      <w:pPr>
        <w:spacing w:after="0"/>
        <w:rPr>
          <w:lang w:val="en-US"/>
        </w:rPr>
      </w:pPr>
      <w:r w:rsidRPr="0075101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5101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D20CA" w:rsidRPr="0075101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019">
      <w:pPr>
        <w:spacing w:after="0" w:line="240" w:lineRule="auto"/>
      </w:pPr>
      <w:r>
        <w:separator/>
      </w:r>
    </w:p>
  </w:endnote>
  <w:endnote w:type="continuationSeparator" w:id="0">
    <w:p w:rsidR="00000000" w:rsidRDefault="0075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1019">
      <w:pPr>
        <w:spacing w:after="0" w:line="240" w:lineRule="auto"/>
      </w:pPr>
      <w:r>
        <w:separator/>
      </w:r>
    </w:p>
  </w:footnote>
  <w:footnote w:type="continuationSeparator" w:id="0">
    <w:p w:rsidR="00000000" w:rsidRDefault="0075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CA" w:rsidRDefault="0075101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0CA"/>
    <w:rsid w:val="00751019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2017-02-16T15:06:00Z</dcterms:created>
  <dcterms:modified xsi:type="dcterms:W3CDTF">2017-02-16T15:48:00Z</dcterms:modified>
  <cp:category/>
</cp:coreProperties>
</file>