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74" w:rsidRDefault="00C10F05" w:rsidP="00C10F05">
      <w:pPr>
        <w:pStyle w:val="Rubrik1"/>
      </w:pPr>
      <w:r>
        <w:t>Äldreomsorgschefer</w:t>
      </w:r>
    </w:p>
    <w:p w:rsidR="00C10F05" w:rsidRDefault="00C10F05"/>
    <w:p w:rsidR="00486F33" w:rsidRDefault="00F7385F">
      <w:r>
        <w:t xml:space="preserve">Enkäten </w:t>
      </w:r>
      <w:r w:rsidR="00486F33">
        <w:t>har nått ut till1000 chefer som antas arbeta med äldreomsorgsfrågor på något sätt. 698</w:t>
      </w:r>
      <w:r>
        <w:t xml:space="preserve"> har svarat </w:t>
      </w:r>
      <w:r w:rsidR="00486F33">
        <w:t xml:space="preserve">och </w:t>
      </w:r>
      <w:r>
        <w:t xml:space="preserve">det </w:t>
      </w:r>
      <w:r w:rsidR="00486F33">
        <w:t xml:space="preserve">innebär en svarfrekvens på </w:t>
      </w:r>
      <w:proofErr w:type="gramStart"/>
      <w:r w:rsidR="00486F33">
        <w:t>70</w:t>
      </w:r>
      <w:r>
        <w:t>%</w:t>
      </w:r>
      <w:proofErr w:type="gramEnd"/>
      <w:r>
        <w:t>.</w:t>
      </w:r>
      <w:r w:rsidR="009A5A62">
        <w:t xml:space="preserve"> Undersökningsperiod 2017-03-16</w:t>
      </w:r>
      <w:proofErr w:type="gramStart"/>
      <w:r w:rsidR="009A5A62">
        <w:t>—</w:t>
      </w:r>
      <w:proofErr w:type="gramEnd"/>
      <w:r w:rsidR="009A5A62">
        <w:t>30.</w:t>
      </w:r>
    </w:p>
    <w:p w:rsidR="00486F33" w:rsidRDefault="00486F33"/>
    <w:p w:rsidR="009A5A62" w:rsidRDefault="00486F33">
      <w:r>
        <w:t>Bland de svarande arbetar 37</w:t>
      </w:r>
      <w:r>
        <w:t>% inom hemtjänst, 46% inom äldreboende (särskild</w:t>
      </w:r>
      <w:r w:rsidR="00F269B3">
        <w:t>a boenden), totalt 581 stycken.</w:t>
      </w:r>
      <w:r>
        <w:t xml:space="preserve"> </w:t>
      </w:r>
      <w:r w:rsidR="00145573">
        <w:t xml:space="preserve">Enligt utredningen finns det drygt 4000 enhetchefer (första linjens chefer) inom äldreomsorg. </w:t>
      </w:r>
      <w:r w:rsidR="007D214F">
        <w:t xml:space="preserve">Vi har </w:t>
      </w:r>
      <w:r>
        <w:t>alltså fått respons från omkring</w:t>
      </w:r>
      <w:r w:rsidR="007D214F">
        <w:t xml:space="preserve"> en fjärdedel av landets </w:t>
      </w:r>
      <w:r>
        <w:t>enhets</w:t>
      </w:r>
      <w:r w:rsidR="00145573">
        <w:t>chefer totalt sett</w:t>
      </w:r>
      <w:r w:rsidR="007D214F">
        <w:t>.</w:t>
      </w:r>
      <w:r>
        <w:t xml:space="preserve"> Nedan redovisas hur chefer inom hemtjänst och boenden bedömer situationen.</w:t>
      </w:r>
    </w:p>
    <w:p w:rsidR="00486F33" w:rsidRDefault="00486F33"/>
    <w:p w:rsidR="00C10F05" w:rsidRDefault="00C10F05" w:rsidP="00C10F05">
      <w:pPr>
        <w:pStyle w:val="Rubrik2"/>
      </w:pPr>
      <w:r>
        <w:t>Personalförsörjning</w:t>
      </w:r>
    </w:p>
    <w:p w:rsidR="00C10F05" w:rsidRDefault="00C10F05"/>
    <w:p w:rsidR="009475BF" w:rsidRDefault="009475BF">
      <w:pPr>
        <w:rPr>
          <w:rStyle w:val="Stark"/>
        </w:rPr>
      </w:pPr>
      <w:r>
        <w:rPr>
          <w:rStyle w:val="Stark"/>
        </w:rPr>
        <w:t>Möjligheter att rekrytera</w:t>
      </w:r>
      <w:r w:rsidRPr="009475BF">
        <w:rPr>
          <w:rStyle w:val="Stark"/>
        </w:rPr>
        <w:t xml:space="preserve"> </w:t>
      </w:r>
    </w:p>
    <w:p w:rsidR="00BF4BAA" w:rsidRPr="009475BF" w:rsidRDefault="00BF4BAA">
      <w:pPr>
        <w:rPr>
          <w:rStyle w:val="Stark"/>
        </w:rPr>
      </w:pPr>
    </w:p>
    <w:p w:rsidR="009D2067" w:rsidRDefault="009D2067"/>
    <w:p w:rsidR="009D2067" w:rsidRDefault="009D2067">
      <w:r>
        <w:t xml:space="preserve">Anser du att det är lätt </w:t>
      </w:r>
      <w:r w:rsidRPr="009D2067">
        <w:t>att nyrekrytera personal med rätt kompetens för att ge en bra omsorg?</w:t>
      </w:r>
    </w:p>
    <w:p w:rsidR="00837A0F" w:rsidRDefault="00837A0F"/>
    <w:p w:rsidR="00837A0F" w:rsidRPr="00837A0F" w:rsidRDefault="00837A0F">
      <w:pPr>
        <w:rPr>
          <w:sz w:val="20"/>
          <w:szCs w:val="20"/>
        </w:rPr>
      </w:pPr>
      <w:r w:rsidRPr="00837A0F">
        <w:rPr>
          <w:sz w:val="20"/>
          <w:szCs w:val="20"/>
        </w:rPr>
        <w:t>(Svarsskala 1 (Inte alls lätt) till 5 (Mycket lätt). Här redovisat enligt följande: Svårt=1+2 Balans=3 Lätt=4+5)</w:t>
      </w:r>
    </w:p>
    <w:p w:rsidR="00837A0F" w:rsidRDefault="00837A0F"/>
    <w:p w:rsidR="00837A0F" w:rsidRDefault="00837A0F">
      <w:r>
        <w:rPr>
          <w:noProof/>
        </w:rPr>
        <w:drawing>
          <wp:inline distT="0" distB="0" distL="0" distR="0" wp14:anchorId="2D4721E2" wp14:editId="1DFDA77F">
            <wp:extent cx="3049200" cy="18000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59F5F1" wp14:editId="270F6B56">
            <wp:extent cx="2991600" cy="1800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A0F" w:rsidRDefault="00837A0F"/>
    <w:p w:rsidR="009D2067" w:rsidRDefault="009D2067"/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37A0F" w:rsidTr="00837A0F">
        <w:trPr>
          <w:trHeight w:val="39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7A0F" w:rsidRDefault="00837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A1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C8</w:t>
            </w:r>
          </w:p>
        </w:tc>
      </w:tr>
      <w:tr w:rsidR="00837A0F" w:rsidTr="00837A0F">
        <w:trPr>
          <w:trHeight w:val="394"/>
        </w:trPr>
        <w:tc>
          <w:tcPr>
            <w:tcW w:w="268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Inte alls lätt 1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27,1%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42,4%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32,9%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33,3%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30,2%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40,9%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17,3%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31,9%</w:t>
            </w:r>
          </w:p>
        </w:tc>
      </w:tr>
      <w:tr w:rsidR="00837A0F" w:rsidTr="00837A0F">
        <w:trPr>
          <w:trHeight w:val="394"/>
        </w:trPr>
        <w:tc>
          <w:tcPr>
            <w:tcW w:w="268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39,6%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48,5%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46,0%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33,3%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34,9%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32,7%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42,3%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36,2%</w:t>
            </w:r>
          </w:p>
        </w:tc>
      </w:tr>
      <w:tr w:rsidR="00837A0F" w:rsidTr="00837A0F">
        <w:trPr>
          <w:trHeight w:val="394"/>
        </w:trPr>
        <w:tc>
          <w:tcPr>
            <w:tcW w:w="268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25,0%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1%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28,6%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33,3%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25,5%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28,8%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30,4%</w:t>
            </w:r>
          </w:p>
        </w:tc>
      </w:tr>
      <w:tr w:rsidR="00837A0F" w:rsidTr="00837A0F">
        <w:trPr>
          <w:trHeight w:val="394"/>
        </w:trPr>
        <w:tc>
          <w:tcPr>
            <w:tcW w:w="268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3%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6%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8%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6%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9%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4%</w:t>
            </w:r>
            <w:proofErr w:type="gramEnd"/>
          </w:p>
        </w:tc>
      </w:tr>
      <w:tr w:rsidR="00837A0F" w:rsidTr="00837A0F">
        <w:trPr>
          <w:trHeight w:val="394"/>
        </w:trPr>
        <w:tc>
          <w:tcPr>
            <w:tcW w:w="268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Mycket lätt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</w:tr>
      <w:tr w:rsidR="00837A0F" w:rsidTr="00837A0F">
        <w:trPr>
          <w:trHeight w:val="394"/>
        </w:trPr>
        <w:tc>
          <w:tcPr>
            <w:tcW w:w="268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Svarande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837A0F" w:rsidRDefault="00837A0F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69</w:t>
            </w:r>
          </w:p>
        </w:tc>
      </w:tr>
    </w:tbl>
    <w:p w:rsidR="00837A0F" w:rsidRDefault="00837A0F"/>
    <w:p w:rsidR="00837A0F" w:rsidRDefault="00837A0F"/>
    <w:p w:rsidR="00837A0F" w:rsidRDefault="00837A0F"/>
    <w:p w:rsidR="00837A0F" w:rsidRDefault="00837A0F"/>
    <w:p w:rsidR="0077429D" w:rsidRDefault="0077429D">
      <w:r>
        <w:br w:type="page"/>
      </w:r>
    </w:p>
    <w:p w:rsidR="00DC3276" w:rsidRDefault="0077429D">
      <w:r w:rsidRPr="0077429D">
        <w:t>För att lösa bemanningen, händer det att du anställer personal som saknar passande grundutbildning?</w:t>
      </w:r>
    </w:p>
    <w:p w:rsidR="0077429D" w:rsidRDefault="0077429D"/>
    <w:p w:rsidR="0077429D" w:rsidRDefault="00837A0F">
      <w:r>
        <w:rPr>
          <w:noProof/>
        </w:rPr>
        <w:drawing>
          <wp:inline distT="0" distB="0" distL="0" distR="0" wp14:anchorId="6B4C0368" wp14:editId="65EE2FD9">
            <wp:extent cx="2995200" cy="18000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098">
        <w:rPr>
          <w:noProof/>
        </w:rPr>
        <w:drawing>
          <wp:inline distT="0" distB="0" distL="0" distR="0" wp14:anchorId="7E3D5271" wp14:editId="1190C1DF">
            <wp:extent cx="2995200" cy="18000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098" w:rsidRDefault="00B27098"/>
    <w:p w:rsidR="0089284C" w:rsidRDefault="0089284C"/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27098" w:rsidTr="00B27098">
        <w:trPr>
          <w:trHeight w:val="39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7098" w:rsidRDefault="00B27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A1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C8</w:t>
            </w:r>
          </w:p>
        </w:tc>
      </w:tr>
      <w:tr w:rsidR="00B27098" w:rsidTr="00B27098">
        <w:trPr>
          <w:trHeight w:val="394"/>
        </w:trPr>
        <w:tc>
          <w:tcPr>
            <w:tcW w:w="268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Aldrig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2%</w:t>
            </w:r>
            <w:proofErr w:type="gramEnd"/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15,2%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9%</w:t>
            </w:r>
            <w:proofErr w:type="gramEnd"/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7%</w:t>
            </w:r>
            <w:proofErr w:type="gramEnd"/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7%</w:t>
            </w:r>
            <w:proofErr w:type="gramEnd"/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2%</w:t>
            </w:r>
            <w:proofErr w:type="gramEnd"/>
          </w:p>
        </w:tc>
      </w:tr>
      <w:tr w:rsidR="00B27098" w:rsidTr="00B27098">
        <w:trPr>
          <w:trHeight w:val="394"/>
        </w:trPr>
        <w:tc>
          <w:tcPr>
            <w:tcW w:w="268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Någon enstaka gång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18,8%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21,2%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15,9%</w:t>
            </w:r>
          </w:p>
        </w:tc>
      </w:tr>
      <w:tr w:rsidR="00B27098" w:rsidTr="00B27098">
        <w:trPr>
          <w:trHeight w:val="394"/>
        </w:trPr>
        <w:tc>
          <w:tcPr>
            <w:tcW w:w="268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Ibland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62,5%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39,4%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46,3%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33,3%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39,7%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38,2%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44,2%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39,1%</w:t>
            </w:r>
          </w:p>
        </w:tc>
      </w:tr>
      <w:tr w:rsidR="00B27098" w:rsidTr="00B27098">
        <w:trPr>
          <w:trHeight w:val="394"/>
        </w:trPr>
        <w:tc>
          <w:tcPr>
            <w:tcW w:w="268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Ofta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24,2%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39,4%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40,5%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41,3%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44,5%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28,8%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B27098" w:rsidRDefault="00B27098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37,7%</w:t>
            </w:r>
          </w:p>
        </w:tc>
      </w:tr>
    </w:tbl>
    <w:p w:rsidR="0089284C" w:rsidRDefault="0089284C"/>
    <w:p w:rsidR="0089284C" w:rsidRDefault="0089284C"/>
    <w:p w:rsidR="00BF4BAA" w:rsidRDefault="00BF4BAA">
      <w:r w:rsidRPr="00BF4BAA">
        <w:t xml:space="preserve">Händer det att du tvingas bemanna verksamheten med personer med otillräcklig kompetens i så stor utsträckning att du är </w:t>
      </w:r>
      <w:r w:rsidRPr="00BF4BAA">
        <w:rPr>
          <w:u w:val="single"/>
        </w:rPr>
        <w:t>orolig för verksamhetens kvalitet</w:t>
      </w:r>
      <w:r w:rsidRPr="00BF4BAA">
        <w:t>?</w:t>
      </w:r>
      <w:r>
        <w:t xml:space="preserve"> (Frågan är besvarad av de chefer som svarat att de någon enstaka gång/ibland/ofta bemannar verksamheten med personal som saknar passande grundutbildning)</w:t>
      </w:r>
    </w:p>
    <w:p w:rsidR="003A48FE" w:rsidRDefault="003A48FE">
      <w:pPr>
        <w:rPr>
          <w:noProof/>
        </w:rPr>
      </w:pPr>
    </w:p>
    <w:p w:rsidR="00A74A27" w:rsidRDefault="003A48FE">
      <w:r>
        <w:rPr>
          <w:noProof/>
        </w:rPr>
        <w:drawing>
          <wp:inline distT="0" distB="0" distL="0" distR="0" wp14:anchorId="20E0E1D8" wp14:editId="6E44CC9F">
            <wp:extent cx="2995200" cy="180000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01D438" wp14:editId="237DD451">
            <wp:extent cx="2995200" cy="180000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8FE" w:rsidRDefault="003A48FE"/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3A48FE" w:rsidTr="003A48FE">
        <w:trPr>
          <w:trHeight w:val="39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8FE" w:rsidRDefault="003A4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A1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C8</w:t>
            </w:r>
          </w:p>
        </w:tc>
      </w:tr>
      <w:tr w:rsidR="003A48FE" w:rsidTr="003A48FE">
        <w:trPr>
          <w:trHeight w:val="394"/>
        </w:trPr>
        <w:tc>
          <w:tcPr>
            <w:tcW w:w="2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Aldrig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21,7%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35,7%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16,1%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28,9%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15,5%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17,9%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25,0%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17,5%</w:t>
            </w:r>
          </w:p>
        </w:tc>
      </w:tr>
      <w:tr w:rsidR="003A48FE" w:rsidTr="003A48FE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Någon enstaka gång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47,8%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35,7%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38,1%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26,3%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41,4%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38,7%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50,0%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44,4%</w:t>
            </w:r>
          </w:p>
        </w:tc>
      </w:tr>
      <w:tr w:rsidR="003A48FE" w:rsidTr="003A48FE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Ibland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23,9%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28,6%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37,4%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42,1%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37,9%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38,7%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22,9%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36,5%</w:t>
            </w:r>
          </w:p>
        </w:tc>
      </w:tr>
      <w:tr w:rsidR="003A48FE" w:rsidTr="003A48FE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Ofta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4%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6%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5,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2%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7%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1%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3A48FE" w:rsidRDefault="003A48FE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6%</w:t>
            </w:r>
            <w:proofErr w:type="gramEnd"/>
          </w:p>
        </w:tc>
      </w:tr>
    </w:tbl>
    <w:p w:rsidR="00BF4BAA" w:rsidRDefault="00BF4BAA"/>
    <w:p w:rsidR="00611FA9" w:rsidRPr="009B5385" w:rsidRDefault="00BF4BAA">
      <w:r>
        <w:t xml:space="preserve"> </w:t>
      </w:r>
    </w:p>
    <w:p w:rsidR="00827B8B" w:rsidRDefault="009475BF" w:rsidP="009475BF">
      <w:pPr>
        <w:pStyle w:val="Rubrik2"/>
      </w:pPr>
      <w:r>
        <w:t>Chefernas förutsättningar och villkor</w:t>
      </w:r>
    </w:p>
    <w:p w:rsidR="009475BF" w:rsidRDefault="009475BF"/>
    <w:p w:rsidR="009B5385" w:rsidRDefault="009B5385">
      <w:r>
        <w:t>För att kunna omhänderta personalförsörjningsproblematiken och säkra kvaliteten inom verksamheten är ett närvarande ledarskap avgörande. Det styrs av antal medarbetare och tillgängligt chefstöd.</w:t>
      </w:r>
    </w:p>
    <w:p w:rsidR="009B5385" w:rsidRDefault="009B5385"/>
    <w:p w:rsidR="004858B7" w:rsidRDefault="004858B7" w:rsidP="004858B7">
      <w:pPr>
        <w:rPr>
          <w:rStyle w:val="Stark"/>
          <w:b w:val="0"/>
        </w:rPr>
      </w:pPr>
      <w:r>
        <w:rPr>
          <w:rStyle w:val="Stark"/>
          <w:b w:val="0"/>
        </w:rPr>
        <w:t>Antal direktrapporterande medarbetare per chef</w:t>
      </w:r>
    </w:p>
    <w:p w:rsidR="004858B7" w:rsidRDefault="004858B7" w:rsidP="004858B7"/>
    <w:p w:rsidR="004858B7" w:rsidRDefault="004858B7" w:rsidP="004858B7">
      <w:r>
        <w:rPr>
          <w:noProof/>
        </w:rPr>
        <w:drawing>
          <wp:inline distT="0" distB="0" distL="0" distR="0" wp14:anchorId="39BBD42E" wp14:editId="7C4D66F0">
            <wp:extent cx="3294000" cy="1980000"/>
            <wp:effectExtent l="0" t="0" r="1905" b="127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00" cy="19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8B7" w:rsidRDefault="004858B7" w:rsidP="004858B7"/>
    <w:p w:rsidR="004858B7" w:rsidRDefault="004858B7" w:rsidP="004858B7">
      <w:pPr>
        <w:rPr>
          <w:noProof/>
        </w:rPr>
      </w:pPr>
      <w:r>
        <w:rPr>
          <w:noProof/>
        </w:rPr>
        <w:drawing>
          <wp:inline distT="0" distB="0" distL="0" distR="0" wp14:anchorId="0CE6BCBB" wp14:editId="7ABB3E2E">
            <wp:extent cx="3880800" cy="1980000"/>
            <wp:effectExtent l="0" t="0" r="5715" b="127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19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8B7" w:rsidRDefault="004858B7" w:rsidP="004858B7">
      <w:pPr>
        <w:rPr>
          <w:noProof/>
        </w:rPr>
      </w:pPr>
    </w:p>
    <w:p w:rsidR="004858B7" w:rsidRDefault="004858B7" w:rsidP="004858B7"/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9B5385" w:rsidTr="00056446">
        <w:trPr>
          <w:trHeight w:val="39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385" w:rsidRDefault="009B5385" w:rsidP="00056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A1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C8</w:t>
            </w:r>
          </w:p>
        </w:tc>
      </w:tr>
      <w:tr w:rsidR="009B5385" w:rsidTr="00056446">
        <w:trPr>
          <w:trHeight w:val="394"/>
        </w:trPr>
        <w:tc>
          <w:tcPr>
            <w:tcW w:w="25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25 eller färre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1%</w:t>
            </w:r>
            <w:proofErr w:type="gramEnd"/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17,1%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18,3%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11,5%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15,4%</w:t>
            </w:r>
          </w:p>
        </w:tc>
      </w:tr>
      <w:tr w:rsidR="009B5385" w:rsidTr="00056446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26-30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27,3%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12,9%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21,1%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24,0%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22,0%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24,6%</w:t>
            </w:r>
          </w:p>
        </w:tc>
      </w:tr>
      <w:tr w:rsidR="009B5385" w:rsidTr="00056446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31-40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38,6%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45,2%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28,9%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42,5%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35,0%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36,5%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32,0%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40,0%</w:t>
            </w:r>
          </w:p>
        </w:tc>
      </w:tr>
      <w:tr w:rsidR="009B5385" w:rsidTr="00056446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41-50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22,6%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32,5%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21,2%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30,0%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12,3%</w:t>
            </w:r>
          </w:p>
        </w:tc>
      </w:tr>
      <w:tr w:rsidR="009B5385" w:rsidTr="00056446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51-60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2%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10,0%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8%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10,0%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6%</w:t>
            </w:r>
            <w:proofErr w:type="gramEnd"/>
          </w:p>
        </w:tc>
      </w:tr>
      <w:tr w:rsidR="009B5385" w:rsidTr="00056446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61-70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1%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3%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9%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1%</w:t>
            </w:r>
            <w:proofErr w:type="gramEnd"/>
          </w:p>
        </w:tc>
      </w:tr>
      <w:tr w:rsidR="009B5385" w:rsidTr="00056446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71-80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7%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</w:tr>
      <w:tr w:rsidR="009B5385" w:rsidTr="00056446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E5E5E5"/>
              <w:bottom w:val="nil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81 eller fler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7%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</w:tr>
      <w:tr w:rsidR="009B5385" w:rsidTr="00056446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</w:tcPr>
          <w:p w:rsidR="009B5385" w:rsidRDefault="009B5385" w:rsidP="00056446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4858B7" w:rsidRDefault="004858B7"/>
    <w:p w:rsidR="004858B7" w:rsidRDefault="004858B7"/>
    <w:p w:rsidR="00957CA6" w:rsidRDefault="00957CA6">
      <w:r w:rsidRPr="00957CA6">
        <w:t>När din chef rekryterar nya chefskollegor till dig: Upplever du att det är lätt att hitta personer med rätt kompetens?</w:t>
      </w:r>
    </w:p>
    <w:p w:rsidR="00997429" w:rsidRDefault="00997429"/>
    <w:p w:rsidR="00FE167B" w:rsidRPr="00997429" w:rsidRDefault="00FE167B">
      <w:pPr>
        <w:rPr>
          <w:sz w:val="20"/>
          <w:szCs w:val="20"/>
        </w:rPr>
      </w:pPr>
      <w:r w:rsidRPr="00837A0F">
        <w:rPr>
          <w:sz w:val="20"/>
          <w:szCs w:val="20"/>
        </w:rPr>
        <w:t>(Svarsskala 1 (Inte alls lätt) till 5 (Mycket lätt). Här redovisat enligt följande: Svårt=1+2 Balans=3 Lätt=4+5)</w:t>
      </w:r>
    </w:p>
    <w:p w:rsidR="00FE167B" w:rsidRDefault="00FE167B"/>
    <w:p w:rsidR="00FE167B" w:rsidRDefault="00FE167B">
      <w:r>
        <w:rPr>
          <w:noProof/>
        </w:rPr>
        <w:drawing>
          <wp:inline distT="0" distB="0" distL="0" distR="0" wp14:anchorId="36121AA2" wp14:editId="433BEF33">
            <wp:extent cx="2995200" cy="1800000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7429">
        <w:rPr>
          <w:noProof/>
        </w:rPr>
        <w:drawing>
          <wp:inline distT="0" distB="0" distL="0" distR="0" wp14:anchorId="02F82D41" wp14:editId="75035897">
            <wp:extent cx="2991600" cy="1800000"/>
            <wp:effectExtent l="0" t="0" r="0" b="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67B" w:rsidRDefault="00FE167B"/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997429" w:rsidTr="00997429">
        <w:trPr>
          <w:trHeight w:val="39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429" w:rsidRDefault="00997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A1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B5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center"/>
              <w:rPr>
                <w:rFonts w:ascii="Lucida Console" w:hAnsi="Lucida Console" w:cs="Arial"/>
                <w:sz w:val="16"/>
                <w:szCs w:val="16"/>
              </w:rPr>
            </w:pPr>
            <w:r>
              <w:rPr>
                <w:rFonts w:ascii="Lucida Console" w:hAnsi="Lucida Console" w:cs="Arial"/>
                <w:sz w:val="16"/>
                <w:szCs w:val="16"/>
              </w:rPr>
              <w:t>C8</w:t>
            </w:r>
          </w:p>
        </w:tc>
      </w:tr>
      <w:tr w:rsidR="00997429" w:rsidTr="00997429">
        <w:trPr>
          <w:trHeight w:val="394"/>
        </w:trPr>
        <w:tc>
          <w:tcPr>
            <w:tcW w:w="268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Inte alls lätt 1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13,3%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15,6%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3%</w:t>
            </w:r>
            <w:proofErr w:type="gramEnd"/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11,9%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28,8%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21,9%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24,5%</w:t>
            </w:r>
          </w:p>
        </w:tc>
        <w:tc>
          <w:tcPr>
            <w:tcW w:w="70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27,3%</w:t>
            </w:r>
          </w:p>
        </w:tc>
      </w:tr>
      <w:tr w:rsidR="00997429" w:rsidTr="00997429">
        <w:trPr>
          <w:trHeight w:val="394"/>
        </w:trPr>
        <w:tc>
          <w:tcPr>
            <w:tcW w:w="268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26,7%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25,0%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31,1%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31,0%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26,7%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32,7%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33,3%</w:t>
            </w:r>
          </w:p>
        </w:tc>
      </w:tr>
      <w:tr w:rsidR="00997429" w:rsidTr="00997429">
        <w:trPr>
          <w:trHeight w:val="394"/>
        </w:trPr>
        <w:tc>
          <w:tcPr>
            <w:tcW w:w="268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37,8%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28,1%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40,4%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42,9%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44,1%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32,4%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26,5%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28,8%</w:t>
            </w:r>
          </w:p>
        </w:tc>
      </w:tr>
      <w:tr w:rsidR="00997429" w:rsidTr="00997429">
        <w:trPr>
          <w:trHeight w:val="394"/>
        </w:trPr>
        <w:tc>
          <w:tcPr>
            <w:tcW w:w="268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22,2%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25,0%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6%</w:t>
            </w:r>
            <w:proofErr w:type="gramEnd"/>
          </w:p>
        </w:tc>
      </w:tr>
      <w:tr w:rsidR="00997429" w:rsidTr="00997429">
        <w:trPr>
          <w:trHeight w:val="394"/>
        </w:trPr>
        <w:tc>
          <w:tcPr>
            <w:tcW w:w="2680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Mycket lätt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3%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3%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7%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9%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FFFFF"/>
            <w:vAlign w:val="center"/>
            <w:hideMark/>
          </w:tcPr>
          <w:p w:rsidR="00997429" w:rsidRDefault="00997429">
            <w:pPr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3,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0%</w:t>
            </w:r>
            <w:proofErr w:type="gramEnd"/>
          </w:p>
        </w:tc>
      </w:tr>
    </w:tbl>
    <w:p w:rsidR="00957CA6" w:rsidRDefault="00957CA6"/>
    <w:p w:rsidR="00222098" w:rsidRDefault="00AA67B4">
      <w:pPr>
        <w:rPr>
          <w:noProof/>
        </w:rPr>
      </w:pPr>
      <w:r>
        <w:t>Fritextsvaren ger en bild av nya chefer ofta har exempelvis socionomutbildning eller sjuksköterskeutbildning men att de saknar önskvärd bransch- och chefserfarenhet.</w:t>
      </w:r>
      <w:r w:rsidR="00997429">
        <w:t xml:space="preserve"> Även personal</w:t>
      </w:r>
      <w:r w:rsidR="00981571">
        <w:t>vetare rekryteras. En del skriver också att chefer utan högskolexamen rekryteras, ofta då med bakgrund som undersköterska.</w:t>
      </w:r>
      <w:r w:rsidR="00222098" w:rsidRPr="00222098">
        <w:rPr>
          <w:noProof/>
        </w:rPr>
        <w:t xml:space="preserve"> </w:t>
      </w:r>
    </w:p>
    <w:p w:rsidR="008C5D09" w:rsidRDefault="008C5D09">
      <w:pPr>
        <w:rPr>
          <w:noProof/>
        </w:rPr>
      </w:pPr>
    </w:p>
    <w:p w:rsidR="00981571" w:rsidRDefault="00563FF5">
      <w:r>
        <w:t xml:space="preserve">Chefsstöd, </w:t>
      </w:r>
      <w:r w:rsidRPr="00563FF5">
        <w:t>Har du det stöd du behöver när det gäller:</w:t>
      </w:r>
    </w:p>
    <w:p w:rsidR="007B0D75" w:rsidRDefault="007B0D75" w:rsidP="007B0D75"/>
    <w:p w:rsidR="007B0D75" w:rsidRPr="007B0D75" w:rsidRDefault="007B0D75" w:rsidP="007B0D75">
      <w:pPr>
        <w:rPr>
          <w:sz w:val="20"/>
          <w:szCs w:val="20"/>
        </w:rPr>
      </w:pPr>
      <w:r w:rsidRPr="007B0D75">
        <w:rPr>
          <w:noProof/>
          <w:sz w:val="20"/>
          <w:szCs w:val="20"/>
        </w:rPr>
        <w:t>(Svarskala 1</w:t>
      </w:r>
      <w:r>
        <w:rPr>
          <w:noProof/>
          <w:sz w:val="20"/>
          <w:szCs w:val="20"/>
        </w:rPr>
        <w:t xml:space="preserve"> (Inte alls)</w:t>
      </w:r>
      <w:r w:rsidRPr="007B0D75">
        <w:rPr>
          <w:noProof/>
          <w:sz w:val="20"/>
          <w:szCs w:val="20"/>
        </w:rPr>
        <w:t xml:space="preserve"> till 5</w:t>
      </w:r>
      <w:r>
        <w:rPr>
          <w:noProof/>
          <w:sz w:val="20"/>
          <w:szCs w:val="20"/>
        </w:rPr>
        <w:t xml:space="preserve"> (Mycket Bra). </w:t>
      </w:r>
      <w:r w:rsidRPr="00837A0F">
        <w:rPr>
          <w:sz w:val="20"/>
          <w:szCs w:val="20"/>
        </w:rPr>
        <w:t xml:space="preserve">Här redovisat enligt följande: </w:t>
      </w:r>
      <w:r>
        <w:rPr>
          <w:sz w:val="20"/>
          <w:szCs w:val="20"/>
        </w:rPr>
        <w:t>Dåligt</w:t>
      </w:r>
      <w:r w:rsidRPr="00837A0F">
        <w:rPr>
          <w:sz w:val="20"/>
          <w:szCs w:val="20"/>
        </w:rPr>
        <w:t xml:space="preserve">=1+2 Balans=3 </w:t>
      </w:r>
      <w:r>
        <w:rPr>
          <w:sz w:val="20"/>
          <w:szCs w:val="20"/>
        </w:rPr>
        <w:t>Bra</w:t>
      </w:r>
      <w:r w:rsidRPr="00837A0F">
        <w:rPr>
          <w:sz w:val="20"/>
          <w:szCs w:val="20"/>
        </w:rPr>
        <w:t>=4+5)</w:t>
      </w:r>
    </w:p>
    <w:p w:rsidR="00C10F05" w:rsidRDefault="00C10F05"/>
    <w:p w:rsidR="002E13B0" w:rsidRDefault="007B0D75" w:rsidP="00563FF5">
      <w:r>
        <w:rPr>
          <w:noProof/>
        </w:rPr>
        <w:drawing>
          <wp:inline distT="0" distB="0" distL="0" distR="0" wp14:anchorId="318DF139" wp14:editId="05F7A70B">
            <wp:extent cx="2995200" cy="1800000"/>
            <wp:effectExtent l="0" t="0" r="0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3B0" w:rsidRDefault="002E13B0" w:rsidP="00563FF5"/>
    <w:p w:rsidR="002E13B0" w:rsidRDefault="002E13B0" w:rsidP="00563FF5"/>
    <w:p w:rsidR="002E13B0" w:rsidRDefault="002E13B0" w:rsidP="00563FF5"/>
    <w:p w:rsidR="002E13B0" w:rsidRDefault="002E13B0" w:rsidP="00563FF5"/>
    <w:p w:rsidR="009E59DB" w:rsidRDefault="009E59DB" w:rsidP="009E59DB">
      <w:pPr>
        <w:pStyle w:val="Rubrik2"/>
      </w:pPr>
      <w:r>
        <w:t>Förklaring till kommungruppsindelning</w:t>
      </w:r>
    </w:p>
    <w:p w:rsidR="009E59DB" w:rsidRDefault="009E59DB" w:rsidP="009E59DB"/>
    <w:p w:rsidR="001A6DE7" w:rsidRDefault="001A6DE7" w:rsidP="009E59DB">
      <w:r>
        <w:t xml:space="preserve">Redovisningen följer SKL:s </w:t>
      </w:r>
      <w:proofErr w:type="gramStart"/>
      <w:r>
        <w:t>i</w:t>
      </w:r>
      <w:r w:rsidRPr="001A6DE7">
        <w:t>ndelningen</w:t>
      </w:r>
      <w:proofErr w:type="gramEnd"/>
      <w:r w:rsidRPr="001A6DE7">
        <w:t xml:space="preserve"> </w:t>
      </w:r>
      <w:r>
        <w:t xml:space="preserve">som </w:t>
      </w:r>
      <w:r w:rsidRPr="001A6DE7">
        <w:t>består av totalt nio grupper fördelade på tre huvudgrupper, där kommunerna grupperats utifrån vissa kriterier som tätortsstorlek, närhet till större tätort och pendlingsmönster</w:t>
      </w:r>
      <w:r>
        <w:t xml:space="preserve">. </w:t>
      </w:r>
    </w:p>
    <w:p w:rsidR="001A6DE7" w:rsidRDefault="001A6DE7" w:rsidP="009E59DB"/>
    <w:p w:rsidR="001A6DE7" w:rsidRPr="001A6DE7" w:rsidRDefault="001A6DE7" w:rsidP="001A6DE7">
      <w:pPr>
        <w:rPr>
          <w:rStyle w:val="Stark"/>
        </w:rPr>
      </w:pPr>
      <w:r w:rsidRPr="001A6DE7">
        <w:rPr>
          <w:rStyle w:val="Stark"/>
        </w:rPr>
        <w:t>Beskrivning av grupperna</w:t>
      </w:r>
    </w:p>
    <w:p w:rsidR="001A6DE7" w:rsidRDefault="001A6DE7" w:rsidP="001A6DE7"/>
    <w:p w:rsidR="001A6DE7" w:rsidRDefault="00241EF0" w:rsidP="001A6DE7">
      <w:r>
        <w:t xml:space="preserve">För att se vilken kommun som hör till vilken grupp: </w:t>
      </w:r>
      <w:hyperlink r:id="rId19" w:history="1">
        <w:r w:rsidRPr="00241EF0">
          <w:rPr>
            <w:rStyle w:val="Hyperlnk"/>
          </w:rPr>
          <w:t>SKLs lista</w:t>
        </w:r>
      </w:hyperlink>
      <w:r>
        <w:t>.</w:t>
      </w:r>
    </w:p>
    <w:p w:rsidR="001A6DE7" w:rsidRDefault="001A6DE7" w:rsidP="001A6DE7"/>
    <w:p w:rsidR="001A6DE7" w:rsidRDefault="001A6DE7" w:rsidP="001A6DE7">
      <w:r>
        <w:t>A. Storstäder och storstadsnära kommuner</w:t>
      </w:r>
    </w:p>
    <w:p w:rsidR="001A6DE7" w:rsidRDefault="001A6DE7" w:rsidP="001A6DE7"/>
    <w:p w:rsidR="001A6DE7" w:rsidRDefault="001A6DE7" w:rsidP="00241EF0">
      <w:pPr>
        <w:pStyle w:val="Liststycke"/>
        <w:numPr>
          <w:ilvl w:val="0"/>
          <w:numId w:val="5"/>
        </w:numPr>
      </w:pPr>
      <w:r>
        <w:t>A1. Storstäder - kommuner med minst 200 000 invånare varav minst 200 000 invånare i den största tätorten.</w:t>
      </w:r>
    </w:p>
    <w:p w:rsidR="001A6DE7" w:rsidRDefault="001A6DE7" w:rsidP="001A6DE7"/>
    <w:p w:rsidR="001A6DE7" w:rsidRDefault="001A6DE7" w:rsidP="00241EF0">
      <w:pPr>
        <w:pStyle w:val="Liststycke"/>
        <w:numPr>
          <w:ilvl w:val="0"/>
          <w:numId w:val="5"/>
        </w:numPr>
      </w:pPr>
      <w:r>
        <w:t>A2. Pendlingskommun nära storstad - kommuner där minst 40 procent av nattbefolkningen pendlar till arbete i en storstad eller storstadsnära kommun.</w:t>
      </w:r>
    </w:p>
    <w:p w:rsidR="001A6DE7" w:rsidRDefault="001A6DE7" w:rsidP="001A6DE7"/>
    <w:p w:rsidR="001A6DE7" w:rsidRDefault="001A6DE7" w:rsidP="001A6DE7">
      <w:r>
        <w:t>B. Större städer och kommuner nära större stad</w:t>
      </w:r>
    </w:p>
    <w:p w:rsidR="001A6DE7" w:rsidRDefault="001A6DE7" w:rsidP="001A6DE7"/>
    <w:p w:rsidR="001A6DE7" w:rsidRDefault="001A6DE7" w:rsidP="00241EF0">
      <w:pPr>
        <w:pStyle w:val="Liststycke"/>
        <w:numPr>
          <w:ilvl w:val="0"/>
          <w:numId w:val="6"/>
        </w:numPr>
      </w:pPr>
      <w:r>
        <w:t>B3. Större stad - kommuner med minst 50 000 invånare varav minst 40 000 invånare i den största tätorten.</w:t>
      </w:r>
    </w:p>
    <w:p w:rsidR="001A6DE7" w:rsidRDefault="001A6DE7" w:rsidP="001A6DE7"/>
    <w:p w:rsidR="001A6DE7" w:rsidRDefault="001A6DE7" w:rsidP="00241EF0">
      <w:pPr>
        <w:pStyle w:val="Liststycke"/>
        <w:numPr>
          <w:ilvl w:val="0"/>
          <w:numId w:val="6"/>
        </w:numPr>
      </w:pPr>
      <w:r>
        <w:t>B4. Pendlingskommun nära större stad - kommuner där minst 40 procent av nattbefolkningen pendlar till arbete i en större stad.</w:t>
      </w:r>
    </w:p>
    <w:p w:rsidR="001A6DE7" w:rsidRDefault="001A6DE7" w:rsidP="001A6DE7"/>
    <w:p w:rsidR="001A6DE7" w:rsidRDefault="001A6DE7" w:rsidP="00241EF0">
      <w:pPr>
        <w:pStyle w:val="Liststycke"/>
        <w:numPr>
          <w:ilvl w:val="0"/>
          <w:numId w:val="6"/>
        </w:numPr>
      </w:pPr>
      <w:r>
        <w:t>B5. Lågpendlingskommun nära större stad - kommuner där mindre än 40 procent av nattbefolkningen pendlar till arbete i en större stad.</w:t>
      </w:r>
    </w:p>
    <w:p w:rsidR="001A6DE7" w:rsidRDefault="001A6DE7" w:rsidP="001A6DE7"/>
    <w:p w:rsidR="001A6DE7" w:rsidRDefault="001A6DE7" w:rsidP="001A6DE7">
      <w:r>
        <w:t>C. Mindre städer/tätorter och landsbygdskommuner</w:t>
      </w:r>
    </w:p>
    <w:p w:rsidR="001A6DE7" w:rsidRDefault="001A6DE7" w:rsidP="001A6DE7"/>
    <w:p w:rsidR="001A6DE7" w:rsidRDefault="001A6DE7" w:rsidP="00241EF0">
      <w:pPr>
        <w:pStyle w:val="Liststycke"/>
        <w:numPr>
          <w:ilvl w:val="0"/>
          <w:numId w:val="7"/>
        </w:numPr>
      </w:pPr>
      <w:r>
        <w:t>C6. Mindre stad/tätort - kommuner med minst 15 000 men mindre än 40 000 invånare i den största tätorten.</w:t>
      </w:r>
    </w:p>
    <w:p w:rsidR="001A6DE7" w:rsidRDefault="001A6DE7" w:rsidP="001A6DE7"/>
    <w:p w:rsidR="001A6DE7" w:rsidRDefault="001A6DE7" w:rsidP="00241EF0">
      <w:pPr>
        <w:pStyle w:val="Liststycke"/>
        <w:numPr>
          <w:ilvl w:val="0"/>
          <w:numId w:val="7"/>
        </w:numPr>
      </w:pPr>
      <w:r>
        <w:t>C7. Pendlingskommun nära mindre stad/tätort - kommuner där minst 30 procent av nattbefolkningen pendlar till arbete i annan mindre ort och/eller där minst 30 procent av den sysselsatta dagbefolkningen bor i annan kommun.</w:t>
      </w:r>
    </w:p>
    <w:p w:rsidR="001A6DE7" w:rsidRDefault="001A6DE7" w:rsidP="001A6DE7"/>
    <w:p w:rsidR="001A6DE7" w:rsidRDefault="001A6DE7" w:rsidP="00241EF0">
      <w:pPr>
        <w:pStyle w:val="Liststycke"/>
        <w:numPr>
          <w:ilvl w:val="0"/>
          <w:numId w:val="7"/>
        </w:numPr>
      </w:pPr>
      <w:r>
        <w:t>C8. Landsbygdskommun - kommuner med mindre än 15 000 invånare i den största tätorten, lågt pendlingsmönster (mindre än 30 procent).</w:t>
      </w:r>
    </w:p>
    <w:p w:rsidR="001A6DE7" w:rsidRDefault="001A6DE7" w:rsidP="001A6DE7"/>
    <w:p w:rsidR="009E59DB" w:rsidRDefault="001A6DE7" w:rsidP="009E59DB">
      <w:pPr>
        <w:pStyle w:val="Liststycke"/>
        <w:numPr>
          <w:ilvl w:val="0"/>
          <w:numId w:val="7"/>
        </w:numPr>
      </w:pPr>
      <w:r>
        <w:t xml:space="preserve">C9. Landsbygdskommun med besöksnäring - landsbygdskommun med minst två kriterier för besöksnäring, </w:t>
      </w:r>
      <w:proofErr w:type="gramStart"/>
      <w:r>
        <w:t>dvs</w:t>
      </w:r>
      <w:proofErr w:type="gramEnd"/>
      <w:r>
        <w:t xml:space="preserve"> antal gästnätter, omsättning inom detaljhandel/ hotell/ restaurang i förhållande till invånarantalet.</w:t>
      </w:r>
    </w:p>
    <w:sectPr w:rsidR="009E59DB" w:rsidSect="00BF7B03">
      <w:footerReference w:type="default" r:id="rId20"/>
      <w:headerReference w:type="first" r:id="rId21"/>
      <w:pgSz w:w="11907" w:h="16839"/>
      <w:pgMar w:top="1979" w:right="851" w:bottom="964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67" w:rsidRDefault="008F1367" w:rsidP="00CB16AB">
      <w:pPr>
        <w:pStyle w:val="Sidfot"/>
      </w:pPr>
      <w:r>
        <w:separator/>
      </w:r>
    </w:p>
  </w:endnote>
  <w:endnote w:type="continuationSeparator" w:id="0">
    <w:p w:rsidR="008F1367" w:rsidRDefault="008F1367" w:rsidP="00CB16AB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362" w:type="dxa"/>
      <w:tblInd w:w="9193" w:type="dxa"/>
      <w:tblLook w:val="01E0" w:firstRow="1" w:lastRow="1" w:firstColumn="1" w:lastColumn="1" w:noHBand="0" w:noVBand="0"/>
    </w:tblPr>
    <w:tblGrid>
      <w:gridCol w:w="1362"/>
    </w:tblGrid>
    <w:tr w:rsidR="00E90F8E" w:rsidRPr="00F90A5D">
      <w:tc>
        <w:tcPr>
          <w:tcW w:w="1362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E90F8E" w:rsidRPr="00F90A5D" w:rsidRDefault="00E90F8E">
          <w:pPr>
            <w:pStyle w:val="Sidfot"/>
          </w:pPr>
          <w:r w:rsidRPr="00F90A5D">
            <w:t>Datum</w:t>
          </w:r>
        </w:p>
        <w:p w:rsidR="00E90F8E" w:rsidRPr="00F90A5D" w:rsidRDefault="00F90A5D">
          <w:pPr>
            <w:pStyle w:val="Sidfot"/>
          </w:pPr>
          <w:r>
            <w:t>2017-03-20</w:t>
          </w:r>
        </w:p>
        <w:p w:rsidR="00E90F8E" w:rsidRPr="00F90A5D" w:rsidRDefault="00E90F8E">
          <w:pPr>
            <w:pStyle w:val="Sidfot"/>
          </w:pPr>
        </w:p>
        <w:p w:rsidR="00E90F8E" w:rsidRPr="00F90A5D" w:rsidRDefault="00E90F8E">
          <w:pPr>
            <w:pStyle w:val="Sidfot"/>
          </w:pPr>
          <w:r w:rsidRPr="00F90A5D">
            <w:t xml:space="preserve">Sida </w:t>
          </w:r>
          <w:r w:rsidRPr="00F90A5D">
            <w:rPr>
              <w:rStyle w:val="Sidnummer"/>
            </w:rPr>
            <w:fldChar w:fldCharType="begin"/>
          </w:r>
          <w:r w:rsidRPr="00F90A5D">
            <w:rPr>
              <w:rStyle w:val="Sidnummer"/>
            </w:rPr>
            <w:instrText xml:space="preserve"> PAGE </w:instrText>
          </w:r>
          <w:r w:rsidRPr="00F90A5D">
            <w:rPr>
              <w:rStyle w:val="Sidnummer"/>
            </w:rPr>
            <w:fldChar w:fldCharType="separate"/>
          </w:r>
          <w:r w:rsidR="00987308">
            <w:rPr>
              <w:rStyle w:val="Sidnummer"/>
              <w:noProof/>
            </w:rPr>
            <w:t>2</w:t>
          </w:r>
          <w:r w:rsidRPr="00F90A5D">
            <w:rPr>
              <w:rStyle w:val="Sidnummer"/>
            </w:rPr>
            <w:fldChar w:fldCharType="end"/>
          </w:r>
        </w:p>
      </w:tc>
    </w:tr>
  </w:tbl>
  <w:p w:rsidR="00E90F8E" w:rsidRPr="00F90A5D" w:rsidRDefault="00E90F8E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67" w:rsidRDefault="008F1367" w:rsidP="00CB16AB">
      <w:pPr>
        <w:pStyle w:val="Sidfot"/>
      </w:pPr>
      <w:r>
        <w:separator/>
      </w:r>
    </w:p>
  </w:footnote>
  <w:footnote w:type="continuationSeparator" w:id="0">
    <w:p w:rsidR="008F1367" w:rsidRDefault="008F1367" w:rsidP="00CB16AB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5760"/>
      <w:gridCol w:w="1800"/>
    </w:tblGrid>
    <w:tr w:rsidR="00E90F8E" w:rsidRPr="00F90A5D">
      <w:tc>
        <w:tcPr>
          <w:tcW w:w="1728" w:type="dxa"/>
          <w:tcBorders>
            <w:right w:val="single" w:sz="4" w:space="0" w:color="auto"/>
          </w:tcBorders>
          <w:vAlign w:val="center"/>
        </w:tcPr>
        <w:p w:rsidR="00E90F8E" w:rsidRPr="00F90A5D" w:rsidRDefault="00F90A5D" w:rsidP="00E90F8E">
          <w:pPr>
            <w:pStyle w:val="Sidhuvud"/>
          </w:pPr>
          <w:r>
            <w:rPr>
              <w:noProof/>
            </w:rPr>
            <w:drawing>
              <wp:inline distT="0" distB="0" distL="0" distR="0" wp14:anchorId="16D9B14C" wp14:editId="16D9B14D">
                <wp:extent cx="828675" cy="371475"/>
                <wp:effectExtent l="0" t="0" r="9525" b="9525"/>
                <wp:docPr id="1" name="Bild 1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left w:val="single" w:sz="4" w:space="0" w:color="auto"/>
          </w:tcBorders>
        </w:tcPr>
        <w:p w:rsidR="00E90F8E" w:rsidRPr="00F90A5D" w:rsidRDefault="00F90A5D" w:rsidP="00E90F8E">
          <w:pPr>
            <w:pStyle w:val="Sidhuvud"/>
          </w:pPr>
          <w:r>
            <w:t>Jonas</w:t>
          </w:r>
          <w:r w:rsidR="00E90F8E" w:rsidRPr="00F90A5D">
            <w:t xml:space="preserve"> </w:t>
          </w:r>
          <w:r>
            <w:t>Karlsson</w:t>
          </w:r>
          <w:r w:rsidR="00E90F8E" w:rsidRPr="00F90A5D">
            <w:br/>
          </w:r>
          <w:r>
            <w:t>Löner och yrkesvillkor</w:t>
          </w:r>
        </w:p>
      </w:tc>
      <w:tc>
        <w:tcPr>
          <w:tcW w:w="1800" w:type="dxa"/>
          <w:vAlign w:val="center"/>
        </w:tcPr>
        <w:p w:rsidR="00E90F8E" w:rsidRPr="00F90A5D" w:rsidRDefault="00E90F8E" w:rsidP="00E90F8E">
          <w:pPr>
            <w:pStyle w:val="Sidhuvud"/>
          </w:pPr>
          <w:r w:rsidRPr="00F90A5D">
            <w:t>Datum</w:t>
          </w:r>
          <w:r w:rsidRPr="00F90A5D">
            <w:br/>
          </w:r>
          <w:r w:rsidR="00486F33">
            <w:t>2017-03-30</w:t>
          </w:r>
        </w:p>
        <w:p w:rsidR="00E90F8E" w:rsidRPr="00F90A5D" w:rsidRDefault="00E90F8E" w:rsidP="00E90F8E">
          <w:pPr>
            <w:pStyle w:val="Sidhuvud"/>
          </w:pPr>
        </w:p>
        <w:p w:rsidR="00E90F8E" w:rsidRPr="00F90A5D" w:rsidRDefault="00E90F8E" w:rsidP="00E90F8E">
          <w:pPr>
            <w:pStyle w:val="Sidhuvud"/>
          </w:pPr>
          <w:r w:rsidRPr="00F90A5D">
            <w:rPr>
              <w:rStyle w:val="Sidnummer"/>
            </w:rPr>
            <w:t xml:space="preserve">Sida </w:t>
          </w:r>
          <w:r w:rsidRPr="00F90A5D">
            <w:rPr>
              <w:rStyle w:val="Sidnummer"/>
            </w:rPr>
            <w:fldChar w:fldCharType="begin"/>
          </w:r>
          <w:r w:rsidRPr="00F90A5D">
            <w:rPr>
              <w:rStyle w:val="Sidnummer"/>
            </w:rPr>
            <w:instrText xml:space="preserve"> PAGE </w:instrText>
          </w:r>
          <w:r w:rsidRPr="00F90A5D">
            <w:rPr>
              <w:rStyle w:val="Sidnummer"/>
            </w:rPr>
            <w:fldChar w:fldCharType="separate"/>
          </w:r>
          <w:r w:rsidR="00F269B3">
            <w:rPr>
              <w:rStyle w:val="Sidnummer"/>
              <w:noProof/>
            </w:rPr>
            <w:t>1</w:t>
          </w:r>
          <w:r w:rsidRPr="00F90A5D">
            <w:rPr>
              <w:rStyle w:val="Sidnummer"/>
            </w:rPr>
            <w:fldChar w:fldCharType="end"/>
          </w:r>
        </w:p>
      </w:tc>
    </w:tr>
  </w:tbl>
  <w:p w:rsidR="00E90F8E" w:rsidRPr="00F90A5D" w:rsidRDefault="00E90F8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3A4"/>
    <w:multiLevelType w:val="hybridMultilevel"/>
    <w:tmpl w:val="CE46D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E6E"/>
    <w:multiLevelType w:val="hybridMultilevel"/>
    <w:tmpl w:val="4BD0D3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7952"/>
    <w:multiLevelType w:val="hybridMultilevel"/>
    <w:tmpl w:val="39BAF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363C0"/>
    <w:multiLevelType w:val="hybridMultilevel"/>
    <w:tmpl w:val="19623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50033"/>
    <w:multiLevelType w:val="hybridMultilevel"/>
    <w:tmpl w:val="93163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35FE9"/>
    <w:multiLevelType w:val="hybridMultilevel"/>
    <w:tmpl w:val="556456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E5092"/>
    <w:multiLevelType w:val="hybridMultilevel"/>
    <w:tmpl w:val="4A9C93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atum"/>
    <w:docVar w:name="stc3_dlg_show_dlg_descr¤dialog_¤TemplateDialog" w:val="False"/>
    <w:docVar w:name="stc3_dlg_show_step_descr¤dialog_¤TemplateDialog" w:val="False"/>
    <w:docVar w:name="stc3_dlg_type¤ds_¤Datum" w:val="6"/>
    <w:docVar w:name="stc3_dlg_type¤o1_¤Org1" w:val="9"/>
    <w:docVar w:name="stc3_dlg_type¤pr_¤Profile" w:val="10"/>
    <w:docVar w:name="stc3_DM" w:val="0"/>
  </w:docVars>
  <w:rsids>
    <w:rsidRoot w:val="00F90A5D"/>
    <w:rsid w:val="00001EB8"/>
    <w:rsid w:val="00005C82"/>
    <w:rsid w:val="000155D4"/>
    <w:rsid w:val="000250CD"/>
    <w:rsid w:val="000635F1"/>
    <w:rsid w:val="00092CD6"/>
    <w:rsid w:val="000A1B8A"/>
    <w:rsid w:val="000A26B4"/>
    <w:rsid w:val="000A2AFD"/>
    <w:rsid w:val="000A38CF"/>
    <w:rsid w:val="000A492D"/>
    <w:rsid w:val="00145573"/>
    <w:rsid w:val="00147E51"/>
    <w:rsid w:val="0015457B"/>
    <w:rsid w:val="00154948"/>
    <w:rsid w:val="00160763"/>
    <w:rsid w:val="00183498"/>
    <w:rsid w:val="00194F05"/>
    <w:rsid w:val="001A6DE7"/>
    <w:rsid w:val="001C2D7A"/>
    <w:rsid w:val="001C557E"/>
    <w:rsid w:val="001C6657"/>
    <w:rsid w:val="00222098"/>
    <w:rsid w:val="0023763E"/>
    <w:rsid w:val="00241EF0"/>
    <w:rsid w:val="00260DA1"/>
    <w:rsid w:val="002902D0"/>
    <w:rsid w:val="002B3FBE"/>
    <w:rsid w:val="002B6612"/>
    <w:rsid w:val="002C2E41"/>
    <w:rsid w:val="002D52DE"/>
    <w:rsid w:val="002E13B0"/>
    <w:rsid w:val="002E62A9"/>
    <w:rsid w:val="002F1228"/>
    <w:rsid w:val="0033347B"/>
    <w:rsid w:val="003342BE"/>
    <w:rsid w:val="003512B4"/>
    <w:rsid w:val="003A48FE"/>
    <w:rsid w:val="003A66A2"/>
    <w:rsid w:val="00447CA5"/>
    <w:rsid w:val="00460F56"/>
    <w:rsid w:val="00485456"/>
    <w:rsid w:val="004858B7"/>
    <w:rsid w:val="00486F33"/>
    <w:rsid w:val="004B5BBF"/>
    <w:rsid w:val="005119D1"/>
    <w:rsid w:val="005169BF"/>
    <w:rsid w:val="00520172"/>
    <w:rsid w:val="00563FF5"/>
    <w:rsid w:val="00593581"/>
    <w:rsid w:val="005B2624"/>
    <w:rsid w:val="00601074"/>
    <w:rsid w:val="006015B9"/>
    <w:rsid w:val="00611FA9"/>
    <w:rsid w:val="00614FCD"/>
    <w:rsid w:val="0061531C"/>
    <w:rsid w:val="0063601C"/>
    <w:rsid w:val="006A1BE9"/>
    <w:rsid w:val="006A25F9"/>
    <w:rsid w:val="006D4220"/>
    <w:rsid w:val="006E6D64"/>
    <w:rsid w:val="006F55A2"/>
    <w:rsid w:val="0073216B"/>
    <w:rsid w:val="0074144E"/>
    <w:rsid w:val="0077429D"/>
    <w:rsid w:val="0078493A"/>
    <w:rsid w:val="007B0D75"/>
    <w:rsid w:val="007B1521"/>
    <w:rsid w:val="007C2BA6"/>
    <w:rsid w:val="007D214F"/>
    <w:rsid w:val="007F362D"/>
    <w:rsid w:val="00827B8B"/>
    <w:rsid w:val="00837A0F"/>
    <w:rsid w:val="00861396"/>
    <w:rsid w:val="0089284C"/>
    <w:rsid w:val="00896A9C"/>
    <w:rsid w:val="008C5D09"/>
    <w:rsid w:val="008F1367"/>
    <w:rsid w:val="0093732E"/>
    <w:rsid w:val="00943850"/>
    <w:rsid w:val="00946585"/>
    <w:rsid w:val="009475BF"/>
    <w:rsid w:val="00957CA6"/>
    <w:rsid w:val="00977110"/>
    <w:rsid w:val="00981571"/>
    <w:rsid w:val="009868F8"/>
    <w:rsid w:val="00987308"/>
    <w:rsid w:val="00997429"/>
    <w:rsid w:val="009A5A62"/>
    <w:rsid w:val="009B5385"/>
    <w:rsid w:val="009C6949"/>
    <w:rsid w:val="009D2067"/>
    <w:rsid w:val="009E59DB"/>
    <w:rsid w:val="00A036B7"/>
    <w:rsid w:val="00A17962"/>
    <w:rsid w:val="00A33B4F"/>
    <w:rsid w:val="00A414F3"/>
    <w:rsid w:val="00A74A27"/>
    <w:rsid w:val="00AA33B3"/>
    <w:rsid w:val="00AA67B4"/>
    <w:rsid w:val="00AB2AC7"/>
    <w:rsid w:val="00AC794A"/>
    <w:rsid w:val="00AD35F2"/>
    <w:rsid w:val="00AD5C41"/>
    <w:rsid w:val="00AF0D85"/>
    <w:rsid w:val="00B27098"/>
    <w:rsid w:val="00B5769D"/>
    <w:rsid w:val="00B70DC6"/>
    <w:rsid w:val="00BB634B"/>
    <w:rsid w:val="00BE4CBE"/>
    <w:rsid w:val="00BF4BAA"/>
    <w:rsid w:val="00BF7B03"/>
    <w:rsid w:val="00C0399E"/>
    <w:rsid w:val="00C10542"/>
    <w:rsid w:val="00C10F05"/>
    <w:rsid w:val="00C256E8"/>
    <w:rsid w:val="00C401BB"/>
    <w:rsid w:val="00C41DA0"/>
    <w:rsid w:val="00C539C1"/>
    <w:rsid w:val="00C55C8B"/>
    <w:rsid w:val="00C94CCD"/>
    <w:rsid w:val="00CA0FBF"/>
    <w:rsid w:val="00CB16AB"/>
    <w:rsid w:val="00CE2B74"/>
    <w:rsid w:val="00D50983"/>
    <w:rsid w:val="00D855EE"/>
    <w:rsid w:val="00DA2E22"/>
    <w:rsid w:val="00DC3276"/>
    <w:rsid w:val="00DF3133"/>
    <w:rsid w:val="00E63A25"/>
    <w:rsid w:val="00E739B0"/>
    <w:rsid w:val="00E90F8E"/>
    <w:rsid w:val="00EC2AC8"/>
    <w:rsid w:val="00ED74A9"/>
    <w:rsid w:val="00F269B3"/>
    <w:rsid w:val="00F507F1"/>
    <w:rsid w:val="00F575A5"/>
    <w:rsid w:val="00F7385F"/>
    <w:rsid w:val="00F90A5D"/>
    <w:rsid w:val="00FD1100"/>
    <w:rsid w:val="00FD3C8C"/>
    <w:rsid w:val="00FD408D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9B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0F"/>
    <w:rPr>
      <w:sz w:val="24"/>
      <w:szCs w:val="24"/>
    </w:rPr>
  </w:style>
  <w:style w:type="paragraph" w:styleId="Rubrik1">
    <w:name w:val="heading 1"/>
    <w:basedOn w:val="Normal"/>
    <w:next w:val="Normal"/>
    <w:qFormat/>
    <w:rsid w:val="00E90F8E"/>
    <w:pPr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E90F8E"/>
    <w:pPr>
      <w:outlineLvl w:val="1"/>
    </w:pPr>
    <w:rPr>
      <w:bCs w:val="0"/>
      <w:i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E90F8E"/>
    <w:pPr>
      <w:outlineLvl w:val="2"/>
    </w:pPr>
    <w:rPr>
      <w:bCs/>
      <w:i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90F8E"/>
    <w:pPr>
      <w:tabs>
        <w:tab w:val="center" w:pos="4536"/>
        <w:tab w:val="right" w:pos="9072"/>
      </w:tabs>
    </w:pPr>
    <w:rPr>
      <w:sz w:val="15"/>
    </w:rPr>
  </w:style>
  <w:style w:type="paragraph" w:styleId="Sidfot">
    <w:name w:val="footer"/>
    <w:basedOn w:val="Normal"/>
    <w:rsid w:val="00E90F8E"/>
    <w:pPr>
      <w:tabs>
        <w:tab w:val="center" w:pos="4536"/>
        <w:tab w:val="right" w:pos="9072"/>
      </w:tabs>
    </w:pPr>
    <w:rPr>
      <w:sz w:val="15"/>
    </w:rPr>
  </w:style>
  <w:style w:type="paragraph" w:customStyle="1" w:styleId="BalloonText1">
    <w:name w:val="Balloon Text1"/>
    <w:basedOn w:val="Normal"/>
    <w:semiHidden/>
    <w:rsid w:val="00E90F8E"/>
    <w:rPr>
      <w:rFonts w:ascii="Tahoma" w:hAnsi="Tahoma" w:cs="Tahoma"/>
      <w:sz w:val="16"/>
      <w:szCs w:val="16"/>
    </w:rPr>
  </w:style>
  <w:style w:type="character" w:customStyle="1" w:styleId="Betonad">
    <w:name w:val="Betonad"/>
    <w:basedOn w:val="Standardstycketeckensnitt"/>
    <w:rsid w:val="00E90F8E"/>
    <w:rPr>
      <w:b/>
    </w:rPr>
  </w:style>
  <w:style w:type="paragraph" w:styleId="Brdtext">
    <w:name w:val="Body Text"/>
    <w:basedOn w:val="Normal"/>
    <w:rsid w:val="00E90F8E"/>
    <w:pPr>
      <w:spacing w:after="120"/>
    </w:pPr>
  </w:style>
  <w:style w:type="character" w:customStyle="1" w:styleId="flt">
    <w:name w:val="fält"/>
    <w:basedOn w:val="Standardstycketeckensnitt"/>
    <w:rsid w:val="00E90F8E"/>
    <w:rPr>
      <w:color w:val="3366FF"/>
    </w:rPr>
  </w:style>
  <w:style w:type="character" w:customStyle="1" w:styleId="Instruktion">
    <w:name w:val="Instruktion"/>
    <w:basedOn w:val="Standardstycketeckensnitt"/>
    <w:rsid w:val="00E90F8E"/>
    <w:rPr>
      <w:i/>
      <w:vanish/>
      <w:color w:val="FF0000"/>
    </w:rPr>
  </w:style>
  <w:style w:type="paragraph" w:customStyle="1" w:styleId="Ledtext">
    <w:name w:val="Ledtext"/>
    <w:basedOn w:val="Normal"/>
    <w:rsid w:val="00E90F8E"/>
    <w:rPr>
      <w:sz w:val="12"/>
      <w:lang w:val="en-US"/>
    </w:rPr>
  </w:style>
  <w:style w:type="character" w:customStyle="1" w:styleId="SidhuvudChar">
    <w:name w:val="Sidhuvud Char"/>
    <w:link w:val="Sidhuvud"/>
    <w:rsid w:val="0074144E"/>
    <w:rPr>
      <w:sz w:val="15"/>
      <w:lang w:val="sv-SE" w:eastAsia="en-US" w:bidi="ar-SA"/>
    </w:rPr>
  </w:style>
  <w:style w:type="table" w:styleId="Tabellrutnt">
    <w:name w:val="Table Grid"/>
    <w:basedOn w:val="Normaltabell"/>
    <w:rsid w:val="0074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74144E"/>
  </w:style>
  <w:style w:type="character" w:customStyle="1" w:styleId="CharChar1">
    <w:name w:val="Char Char1"/>
    <w:basedOn w:val="Standardstycketeckensnitt"/>
    <w:rsid w:val="00CA0FBF"/>
    <w:rPr>
      <w:sz w:val="15"/>
      <w:lang w:val="sv-SE" w:eastAsia="en-US" w:bidi="ar-SA"/>
    </w:rPr>
  </w:style>
  <w:style w:type="paragraph" w:styleId="Ballongtext">
    <w:name w:val="Balloon Text"/>
    <w:basedOn w:val="Normal"/>
    <w:link w:val="BallongtextChar"/>
    <w:rsid w:val="00C10F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0F05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qFormat/>
    <w:rsid w:val="003A66A2"/>
    <w:rPr>
      <w:b/>
      <w:bCs/>
    </w:rPr>
  </w:style>
  <w:style w:type="paragraph" w:styleId="Liststycke">
    <w:name w:val="List Paragraph"/>
    <w:basedOn w:val="Normal"/>
    <w:uiPriority w:val="34"/>
    <w:qFormat/>
    <w:rsid w:val="00AA33B3"/>
    <w:pPr>
      <w:ind w:left="720"/>
      <w:contextualSpacing/>
    </w:pPr>
  </w:style>
  <w:style w:type="character" w:styleId="Hyperlnk">
    <w:name w:val="Hyperlink"/>
    <w:basedOn w:val="Standardstycketeckensnitt"/>
    <w:unhideWhenUsed/>
    <w:rsid w:val="00241EF0"/>
    <w:rPr>
      <w:color w:val="0000FF" w:themeColor="hyperlink"/>
      <w:u w:val="single"/>
    </w:rPr>
  </w:style>
  <w:style w:type="character" w:customStyle="1" w:styleId="Mention">
    <w:name w:val="Mention"/>
    <w:basedOn w:val="Standardstycketeckensnitt"/>
    <w:uiPriority w:val="99"/>
    <w:semiHidden/>
    <w:unhideWhenUsed/>
    <w:rsid w:val="00241EF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0F"/>
    <w:rPr>
      <w:sz w:val="24"/>
      <w:szCs w:val="24"/>
    </w:rPr>
  </w:style>
  <w:style w:type="paragraph" w:styleId="Rubrik1">
    <w:name w:val="heading 1"/>
    <w:basedOn w:val="Normal"/>
    <w:next w:val="Normal"/>
    <w:qFormat/>
    <w:rsid w:val="00E90F8E"/>
    <w:pPr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E90F8E"/>
    <w:pPr>
      <w:outlineLvl w:val="1"/>
    </w:pPr>
    <w:rPr>
      <w:bCs w:val="0"/>
      <w:i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E90F8E"/>
    <w:pPr>
      <w:outlineLvl w:val="2"/>
    </w:pPr>
    <w:rPr>
      <w:bCs/>
      <w:i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90F8E"/>
    <w:pPr>
      <w:tabs>
        <w:tab w:val="center" w:pos="4536"/>
        <w:tab w:val="right" w:pos="9072"/>
      </w:tabs>
    </w:pPr>
    <w:rPr>
      <w:sz w:val="15"/>
    </w:rPr>
  </w:style>
  <w:style w:type="paragraph" w:styleId="Sidfot">
    <w:name w:val="footer"/>
    <w:basedOn w:val="Normal"/>
    <w:rsid w:val="00E90F8E"/>
    <w:pPr>
      <w:tabs>
        <w:tab w:val="center" w:pos="4536"/>
        <w:tab w:val="right" w:pos="9072"/>
      </w:tabs>
    </w:pPr>
    <w:rPr>
      <w:sz w:val="15"/>
    </w:rPr>
  </w:style>
  <w:style w:type="paragraph" w:customStyle="1" w:styleId="BalloonText1">
    <w:name w:val="Balloon Text1"/>
    <w:basedOn w:val="Normal"/>
    <w:semiHidden/>
    <w:rsid w:val="00E90F8E"/>
    <w:rPr>
      <w:rFonts w:ascii="Tahoma" w:hAnsi="Tahoma" w:cs="Tahoma"/>
      <w:sz w:val="16"/>
      <w:szCs w:val="16"/>
    </w:rPr>
  </w:style>
  <w:style w:type="character" w:customStyle="1" w:styleId="Betonad">
    <w:name w:val="Betonad"/>
    <w:basedOn w:val="Standardstycketeckensnitt"/>
    <w:rsid w:val="00E90F8E"/>
    <w:rPr>
      <w:b/>
    </w:rPr>
  </w:style>
  <w:style w:type="paragraph" w:styleId="Brdtext">
    <w:name w:val="Body Text"/>
    <w:basedOn w:val="Normal"/>
    <w:rsid w:val="00E90F8E"/>
    <w:pPr>
      <w:spacing w:after="120"/>
    </w:pPr>
  </w:style>
  <w:style w:type="character" w:customStyle="1" w:styleId="flt">
    <w:name w:val="fält"/>
    <w:basedOn w:val="Standardstycketeckensnitt"/>
    <w:rsid w:val="00E90F8E"/>
    <w:rPr>
      <w:color w:val="3366FF"/>
    </w:rPr>
  </w:style>
  <w:style w:type="character" w:customStyle="1" w:styleId="Instruktion">
    <w:name w:val="Instruktion"/>
    <w:basedOn w:val="Standardstycketeckensnitt"/>
    <w:rsid w:val="00E90F8E"/>
    <w:rPr>
      <w:i/>
      <w:vanish/>
      <w:color w:val="FF0000"/>
    </w:rPr>
  </w:style>
  <w:style w:type="paragraph" w:customStyle="1" w:styleId="Ledtext">
    <w:name w:val="Ledtext"/>
    <w:basedOn w:val="Normal"/>
    <w:rsid w:val="00E90F8E"/>
    <w:rPr>
      <w:sz w:val="12"/>
      <w:lang w:val="en-US"/>
    </w:rPr>
  </w:style>
  <w:style w:type="character" w:customStyle="1" w:styleId="SidhuvudChar">
    <w:name w:val="Sidhuvud Char"/>
    <w:link w:val="Sidhuvud"/>
    <w:rsid w:val="0074144E"/>
    <w:rPr>
      <w:sz w:val="15"/>
      <w:lang w:val="sv-SE" w:eastAsia="en-US" w:bidi="ar-SA"/>
    </w:rPr>
  </w:style>
  <w:style w:type="table" w:styleId="Tabellrutnt">
    <w:name w:val="Table Grid"/>
    <w:basedOn w:val="Normaltabell"/>
    <w:rsid w:val="0074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74144E"/>
  </w:style>
  <w:style w:type="character" w:customStyle="1" w:styleId="CharChar1">
    <w:name w:val="Char Char1"/>
    <w:basedOn w:val="Standardstycketeckensnitt"/>
    <w:rsid w:val="00CA0FBF"/>
    <w:rPr>
      <w:sz w:val="15"/>
      <w:lang w:val="sv-SE" w:eastAsia="en-US" w:bidi="ar-SA"/>
    </w:rPr>
  </w:style>
  <w:style w:type="paragraph" w:styleId="Ballongtext">
    <w:name w:val="Balloon Text"/>
    <w:basedOn w:val="Normal"/>
    <w:link w:val="BallongtextChar"/>
    <w:rsid w:val="00C10F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0F05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qFormat/>
    <w:rsid w:val="003A66A2"/>
    <w:rPr>
      <w:b/>
      <w:bCs/>
    </w:rPr>
  </w:style>
  <w:style w:type="paragraph" w:styleId="Liststycke">
    <w:name w:val="List Paragraph"/>
    <w:basedOn w:val="Normal"/>
    <w:uiPriority w:val="34"/>
    <w:qFormat/>
    <w:rsid w:val="00AA33B3"/>
    <w:pPr>
      <w:ind w:left="720"/>
      <w:contextualSpacing/>
    </w:pPr>
  </w:style>
  <w:style w:type="character" w:styleId="Hyperlnk">
    <w:name w:val="Hyperlink"/>
    <w:basedOn w:val="Standardstycketeckensnitt"/>
    <w:unhideWhenUsed/>
    <w:rsid w:val="00241EF0"/>
    <w:rPr>
      <w:color w:val="0000FF" w:themeColor="hyperlink"/>
      <w:u w:val="single"/>
    </w:rPr>
  </w:style>
  <w:style w:type="character" w:customStyle="1" w:styleId="Mention">
    <w:name w:val="Mention"/>
    <w:basedOn w:val="Standardstycketeckensnitt"/>
    <w:uiPriority w:val="99"/>
    <w:semiHidden/>
    <w:unhideWhenUsed/>
    <w:rsid w:val="00241E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4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8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6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6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8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7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648054">
                                                              <w:marLeft w:val="3210"/>
                                                              <w:marRight w:val="0"/>
                                                              <w:marTop w:val="88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2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1182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40612">
                                                                          <w:marLeft w:val="675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266658">
                                                                          <w:marLeft w:val="123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184699">
                                                                          <w:marLeft w:val="1785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305716">
                                                                          <w:marLeft w:val="234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75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3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2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9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7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30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6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30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536019">
                                                              <w:marLeft w:val="3210"/>
                                                              <w:marRight w:val="0"/>
                                                              <w:marTop w:val="88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92132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619233">
                                                                          <w:marLeft w:val="675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331381">
                                                                          <w:marLeft w:val="123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894255">
                                                                          <w:marLeft w:val="1785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121319">
                                                                          <w:marLeft w:val="234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38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15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2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25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6566">
                                                              <w:marLeft w:val="3210"/>
                                                              <w:marRight w:val="0"/>
                                                              <w:marTop w:val="88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6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2797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852591">
                                                                          <w:marLeft w:val="675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929258">
                                                                          <w:marLeft w:val="123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341644">
                                                                          <w:marLeft w:val="1785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957747">
                                                                          <w:marLeft w:val="234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72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8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1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5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92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8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76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382967">
                                                              <w:marLeft w:val="3210"/>
                                                              <w:marRight w:val="0"/>
                                                              <w:marTop w:val="88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2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1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593439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92824">
                                                                          <w:marLeft w:val="675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654192">
                                                                          <w:marLeft w:val="123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685668">
                                                                          <w:marLeft w:val="1785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017441">
                                                                          <w:marLeft w:val="234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76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53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31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0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77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6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94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9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17968">
                                                              <w:marLeft w:val="2115"/>
                                                              <w:marRight w:val="0"/>
                                                              <w:marTop w:val="73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85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57253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576838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1654842">
                                                                          <w:marLeft w:val="330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539017">
                                                                          <w:marLeft w:val="4275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25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7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skl.se/download/18.6b78741215a632d39cbcb80/1487772346656/%C3%96versiktstabell+och+lista_Kommungruppsindelning+2017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919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mejkSoft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Jonas</dc:creator>
  <cp:lastModifiedBy>Karlsson, Jonas</cp:lastModifiedBy>
  <cp:revision>11</cp:revision>
  <cp:lastPrinted>2017-03-30T11:28:00Z</cp:lastPrinted>
  <dcterms:created xsi:type="dcterms:W3CDTF">2017-03-30T06:47:00Z</dcterms:created>
  <dcterms:modified xsi:type="dcterms:W3CDTF">2017-03-30T11:32:00Z</dcterms:modified>
</cp:coreProperties>
</file>